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C1F" w:rsidRPr="004F2C1F" w:rsidRDefault="004F2C1F" w:rsidP="00634D65">
      <w:pPr>
        <w:pStyle w:val="Sinespaciado"/>
        <w:jc w:val="both"/>
        <w:rPr>
          <w:rFonts w:ascii="Arial" w:hAnsi="Arial" w:cs="Arial"/>
          <w:color w:val="000000" w:themeColor="text1"/>
          <w:sz w:val="22"/>
          <w:szCs w:val="22"/>
          <w:lang w:val="es-ES"/>
        </w:rPr>
      </w:pPr>
      <w:r>
        <w:rPr>
          <w:rFonts w:ascii="Arial" w:hAnsi="Arial" w:cs="Arial"/>
          <w:color w:val="000000" w:themeColor="text1"/>
          <w:sz w:val="22"/>
          <w:szCs w:val="22"/>
          <w:lang w:val="es-ES"/>
        </w:rPr>
        <w:t>De conformidad con el artículo Décimo Segundo del Acuerdo 45 de 2019 “</w:t>
      </w:r>
      <w:r>
        <w:rPr>
          <w:rFonts w:ascii="Arial" w:hAnsi="Arial" w:cs="Arial"/>
          <w:i/>
          <w:color w:val="000000" w:themeColor="text1"/>
          <w:sz w:val="22"/>
          <w:szCs w:val="22"/>
          <w:lang w:val="es-ES"/>
        </w:rPr>
        <w:t xml:space="preserve">Por medio del cual se modifica el Acuerdo No. 002 de 2012 ‘Por el cual se establece el Reglamento Interno del Consejo Directivo de La Unidad Administrativa Especial de Gestión de Restitución de Tierras Despojadas – UAEGRTD”, </w:t>
      </w:r>
      <w:r>
        <w:rPr>
          <w:rFonts w:ascii="Arial" w:hAnsi="Arial" w:cs="Arial"/>
          <w:color w:val="000000" w:themeColor="text1"/>
          <w:sz w:val="22"/>
          <w:szCs w:val="22"/>
          <w:lang w:val="es-ES"/>
        </w:rPr>
        <w:t xml:space="preserve">la Unidad se permite manifestar lo siguiente: </w:t>
      </w:r>
    </w:p>
    <w:p w:rsidR="004F2C1F" w:rsidRDefault="004F2C1F" w:rsidP="00634D65">
      <w:pPr>
        <w:pStyle w:val="Sinespaciado"/>
        <w:jc w:val="both"/>
        <w:rPr>
          <w:rFonts w:ascii="Arial" w:hAnsi="Arial" w:cs="Arial"/>
          <w:color w:val="000000" w:themeColor="text1"/>
          <w:sz w:val="22"/>
          <w:szCs w:val="22"/>
          <w:lang w:val="es-ES"/>
        </w:rPr>
      </w:pPr>
    </w:p>
    <w:p w:rsidR="00634D65" w:rsidRPr="00634D65" w:rsidRDefault="00634D65" w:rsidP="00634D65">
      <w:pPr>
        <w:pStyle w:val="Sinespaciado"/>
        <w:jc w:val="both"/>
        <w:rPr>
          <w:rFonts w:ascii="Arial" w:hAnsi="Arial" w:cs="Arial"/>
          <w:sz w:val="22"/>
          <w:szCs w:val="22"/>
        </w:rPr>
      </w:pPr>
      <w:r w:rsidRPr="00634D65">
        <w:rPr>
          <w:rFonts w:ascii="Arial" w:hAnsi="Arial" w:cs="Arial"/>
          <w:color w:val="000000" w:themeColor="text1"/>
          <w:sz w:val="22"/>
          <w:szCs w:val="22"/>
          <w:lang w:val="es-ES"/>
        </w:rPr>
        <w:t xml:space="preserve">El </w:t>
      </w:r>
      <w:r w:rsidRPr="00634D65">
        <w:rPr>
          <w:rFonts w:ascii="Arial" w:hAnsi="Arial" w:cs="Arial"/>
          <w:color w:val="000000" w:themeColor="text1"/>
          <w:sz w:val="22"/>
          <w:szCs w:val="22"/>
          <w:lang w:val="es-ES"/>
        </w:rPr>
        <w:t>20 de marzo de 2019</w:t>
      </w:r>
      <w:r w:rsidRPr="00634D65">
        <w:rPr>
          <w:rFonts w:ascii="Arial" w:hAnsi="Arial" w:cs="Arial"/>
          <w:color w:val="000000" w:themeColor="text1"/>
          <w:sz w:val="22"/>
          <w:szCs w:val="22"/>
          <w:lang w:val="es-ES"/>
        </w:rPr>
        <w:t xml:space="preserve"> se llevó a cabo la Trigésima Sexta Sesión Extraordinaria del Consejo Directivo Unidad De Restitución De Tierras, en el cual se sometieron a aprobación los siguientes temas: </w:t>
      </w:r>
    </w:p>
    <w:p w:rsidR="00634D65" w:rsidRPr="00634D65" w:rsidRDefault="00634D65" w:rsidP="00634D65">
      <w:pPr>
        <w:jc w:val="both"/>
        <w:rPr>
          <w:rFonts w:ascii="Arial" w:hAnsi="Arial" w:cs="Arial"/>
          <w:sz w:val="22"/>
          <w:szCs w:val="22"/>
        </w:rPr>
      </w:pPr>
    </w:p>
    <w:p w:rsidR="00634D65" w:rsidRPr="00634D65" w:rsidRDefault="00634D65" w:rsidP="00634D65">
      <w:pPr>
        <w:jc w:val="both"/>
        <w:rPr>
          <w:rFonts w:ascii="Arial" w:hAnsi="Arial" w:cs="Arial"/>
          <w:sz w:val="22"/>
          <w:szCs w:val="22"/>
        </w:rPr>
      </w:pPr>
      <w:r w:rsidRPr="00634D65">
        <w:rPr>
          <w:rFonts w:ascii="Arial" w:hAnsi="Arial" w:cs="Arial"/>
          <w:sz w:val="22"/>
          <w:szCs w:val="22"/>
        </w:rPr>
        <w:t>Orden del día:</w:t>
      </w:r>
    </w:p>
    <w:p w:rsidR="00634D65" w:rsidRPr="00634D65" w:rsidRDefault="00634D65" w:rsidP="00634D65">
      <w:pPr>
        <w:jc w:val="both"/>
        <w:rPr>
          <w:rFonts w:ascii="Arial" w:hAnsi="Arial" w:cs="Arial"/>
          <w:sz w:val="22"/>
          <w:szCs w:val="22"/>
        </w:rPr>
      </w:pPr>
    </w:p>
    <w:p w:rsidR="00634D65" w:rsidRPr="00634D65" w:rsidRDefault="00634D65" w:rsidP="00634D65">
      <w:pPr>
        <w:pStyle w:val="Prrafodelista"/>
        <w:numPr>
          <w:ilvl w:val="0"/>
          <w:numId w:val="1"/>
        </w:numPr>
        <w:jc w:val="both"/>
        <w:rPr>
          <w:rFonts w:ascii="Arial" w:hAnsi="Arial" w:cs="Arial"/>
          <w:color w:val="000000"/>
          <w:sz w:val="22"/>
          <w:szCs w:val="22"/>
        </w:rPr>
      </w:pPr>
      <w:r w:rsidRPr="00634D65">
        <w:rPr>
          <w:rFonts w:ascii="Arial" w:hAnsi="Arial" w:cs="Arial"/>
          <w:color w:val="000000"/>
          <w:sz w:val="22"/>
          <w:szCs w:val="22"/>
          <w:bdr w:val="none" w:sz="0" w:space="0" w:color="auto" w:frame="1"/>
        </w:rPr>
        <w:t>Verificación del quórum</w:t>
      </w:r>
    </w:p>
    <w:p w:rsidR="00634D65" w:rsidRPr="00634D65" w:rsidRDefault="00634D65" w:rsidP="00634D65">
      <w:pPr>
        <w:pStyle w:val="Prrafodelista"/>
        <w:ind w:left="720"/>
        <w:jc w:val="both"/>
        <w:rPr>
          <w:rFonts w:ascii="Arial" w:hAnsi="Arial" w:cs="Arial"/>
          <w:color w:val="000000"/>
          <w:sz w:val="22"/>
          <w:szCs w:val="22"/>
        </w:rPr>
      </w:pPr>
    </w:p>
    <w:p w:rsidR="00634D65" w:rsidRPr="00634D65" w:rsidRDefault="00634D65" w:rsidP="00634D65">
      <w:pPr>
        <w:pStyle w:val="Prrafodelista"/>
        <w:numPr>
          <w:ilvl w:val="0"/>
          <w:numId w:val="1"/>
        </w:numPr>
        <w:jc w:val="both"/>
        <w:rPr>
          <w:rFonts w:ascii="Arial" w:hAnsi="Arial" w:cs="Arial"/>
          <w:color w:val="000000"/>
          <w:sz w:val="22"/>
          <w:szCs w:val="22"/>
        </w:rPr>
      </w:pPr>
      <w:r w:rsidRPr="00634D65">
        <w:rPr>
          <w:rFonts w:ascii="Arial" w:hAnsi="Arial" w:cs="Arial"/>
          <w:color w:val="000000"/>
          <w:sz w:val="22"/>
          <w:szCs w:val="22"/>
          <w:bdr w:val="none" w:sz="0" w:space="0" w:color="auto" w:frame="1"/>
        </w:rPr>
        <w:t>Aprobación del orden del día</w:t>
      </w:r>
    </w:p>
    <w:p w:rsidR="00634D65" w:rsidRPr="00634D65" w:rsidRDefault="00634D65" w:rsidP="00634D65">
      <w:pPr>
        <w:pStyle w:val="Prrafodelista"/>
        <w:jc w:val="both"/>
        <w:rPr>
          <w:rFonts w:ascii="Arial" w:hAnsi="Arial" w:cs="Arial"/>
          <w:color w:val="000000"/>
          <w:sz w:val="22"/>
          <w:szCs w:val="22"/>
        </w:rPr>
      </w:pPr>
    </w:p>
    <w:p w:rsidR="00634D65" w:rsidRPr="00634D65" w:rsidRDefault="00634D65" w:rsidP="00634D65">
      <w:pPr>
        <w:pStyle w:val="Prrafodelista"/>
        <w:numPr>
          <w:ilvl w:val="0"/>
          <w:numId w:val="1"/>
        </w:numPr>
        <w:jc w:val="both"/>
        <w:rPr>
          <w:rFonts w:ascii="Arial" w:hAnsi="Arial" w:cs="Arial"/>
          <w:color w:val="000000"/>
          <w:sz w:val="22"/>
          <w:szCs w:val="22"/>
        </w:rPr>
      </w:pPr>
      <w:r w:rsidRPr="00634D65">
        <w:rPr>
          <w:rFonts w:ascii="Arial" w:hAnsi="Arial" w:cs="Arial"/>
          <w:color w:val="000000"/>
          <w:sz w:val="22"/>
          <w:szCs w:val="22"/>
          <w:bdr w:val="none" w:sz="0" w:space="0" w:color="auto" w:frame="1"/>
        </w:rPr>
        <w:t>Aprobación del Acta de la Trigésimo Quinta Sesión del Consejo Directivo, realizada el 5 de febrero de 2019</w:t>
      </w:r>
    </w:p>
    <w:p w:rsidR="00634D65" w:rsidRPr="00634D65" w:rsidRDefault="00634D65" w:rsidP="00634D65">
      <w:pPr>
        <w:jc w:val="both"/>
        <w:rPr>
          <w:rFonts w:ascii="Arial" w:hAnsi="Arial" w:cs="Arial"/>
          <w:color w:val="000000"/>
          <w:sz w:val="22"/>
          <w:szCs w:val="22"/>
        </w:rPr>
      </w:pPr>
    </w:p>
    <w:p w:rsidR="00634D65" w:rsidRPr="00634D65" w:rsidRDefault="00634D65" w:rsidP="00634D65">
      <w:pPr>
        <w:pStyle w:val="Prrafodelista"/>
        <w:numPr>
          <w:ilvl w:val="0"/>
          <w:numId w:val="1"/>
        </w:numPr>
        <w:ind w:right="-1"/>
        <w:jc w:val="both"/>
        <w:rPr>
          <w:rFonts w:ascii="Arial" w:hAnsi="Arial" w:cs="Arial"/>
          <w:color w:val="000000"/>
          <w:sz w:val="22"/>
          <w:szCs w:val="22"/>
        </w:rPr>
      </w:pPr>
      <w:r w:rsidRPr="00634D65">
        <w:rPr>
          <w:rFonts w:ascii="Arial" w:hAnsi="Arial" w:cs="Arial"/>
          <w:color w:val="000000"/>
          <w:sz w:val="22"/>
          <w:szCs w:val="22"/>
          <w:bdr w:val="none" w:sz="0" w:space="0" w:color="auto" w:frame="1"/>
        </w:rPr>
        <w:t xml:space="preserve">Presentación </w:t>
      </w:r>
      <w:r w:rsidRPr="00634D65">
        <w:rPr>
          <w:rFonts w:ascii="Arial" w:hAnsi="Arial" w:cs="Arial"/>
          <w:color w:val="000000"/>
          <w:sz w:val="22"/>
          <w:szCs w:val="22"/>
          <w:bdr w:val="none" w:sz="0" w:space="0" w:color="auto" w:frame="1"/>
        </w:rPr>
        <w:t xml:space="preserve">y aprobación del </w:t>
      </w:r>
      <w:r w:rsidRPr="00634D65">
        <w:rPr>
          <w:rFonts w:ascii="Arial" w:hAnsi="Arial" w:cs="Arial"/>
          <w:color w:val="000000"/>
          <w:sz w:val="22"/>
          <w:szCs w:val="22"/>
          <w:bdr w:val="none" w:sz="0" w:space="0" w:color="auto" w:frame="1"/>
        </w:rPr>
        <w:t>anteproyecto de presupuesto para la</w:t>
      </w:r>
      <w:r w:rsidRPr="00634D65">
        <w:rPr>
          <w:rFonts w:ascii="Arial" w:hAnsi="Arial" w:cs="Arial"/>
          <w:color w:val="000000"/>
          <w:sz w:val="22"/>
          <w:szCs w:val="22"/>
          <w:bdr w:val="none" w:sz="0" w:space="0" w:color="auto" w:frame="1"/>
        </w:rPr>
        <w:t xml:space="preserve"> </w:t>
      </w:r>
      <w:r w:rsidRPr="00634D65">
        <w:rPr>
          <w:rFonts w:ascii="Arial" w:hAnsi="Arial" w:cs="Arial"/>
          <w:color w:val="000000"/>
          <w:sz w:val="22"/>
          <w:szCs w:val="22"/>
          <w:bdr w:val="none" w:sz="0" w:space="0" w:color="auto" w:frame="1"/>
        </w:rPr>
        <w:t>vigencia 2020</w:t>
      </w:r>
    </w:p>
    <w:p w:rsidR="00634D65" w:rsidRPr="00634D65" w:rsidRDefault="00634D65" w:rsidP="00634D65">
      <w:pPr>
        <w:pStyle w:val="Prrafodelista"/>
        <w:jc w:val="both"/>
        <w:rPr>
          <w:rFonts w:ascii="Arial" w:hAnsi="Arial" w:cs="Arial"/>
          <w:color w:val="000000"/>
          <w:sz w:val="22"/>
          <w:szCs w:val="22"/>
          <w:bdr w:val="none" w:sz="0" w:space="0" w:color="auto" w:frame="1"/>
        </w:rPr>
      </w:pPr>
    </w:p>
    <w:p w:rsidR="00634D65" w:rsidRPr="00634D65" w:rsidRDefault="00634D65" w:rsidP="00634D65">
      <w:pPr>
        <w:pStyle w:val="Prrafodelista"/>
        <w:numPr>
          <w:ilvl w:val="0"/>
          <w:numId w:val="1"/>
        </w:numPr>
        <w:ind w:right="51"/>
        <w:jc w:val="both"/>
        <w:rPr>
          <w:rFonts w:ascii="Arial" w:hAnsi="Arial" w:cs="Arial"/>
          <w:color w:val="000000"/>
          <w:sz w:val="22"/>
          <w:szCs w:val="22"/>
        </w:rPr>
      </w:pPr>
      <w:r w:rsidRPr="00634D65">
        <w:rPr>
          <w:rFonts w:ascii="Arial" w:hAnsi="Arial" w:cs="Arial"/>
          <w:color w:val="000000"/>
          <w:sz w:val="22"/>
          <w:szCs w:val="22"/>
          <w:bdr w:val="none" w:sz="0" w:space="0" w:color="auto" w:frame="1"/>
        </w:rPr>
        <w:t>Aprobación del cronograma de las sesiones ordinarias y del Plan de Trabajo del Consejo Directivo de la Unidad de Restitución de Tierras para el año 2019, de conformidad con lo dispuesto en el Acuerdo No. 45 de 2019 “</w:t>
      </w:r>
      <w:bookmarkStart w:id="0" w:name="_Hlk536722083"/>
      <w:r w:rsidRPr="00634D65">
        <w:rPr>
          <w:rFonts w:ascii="Arial" w:hAnsi="Arial" w:cs="Arial"/>
          <w:i/>
          <w:color w:val="000000"/>
          <w:sz w:val="22"/>
          <w:szCs w:val="22"/>
          <w:lang w:val="es-CO"/>
        </w:rPr>
        <w:t>Por medio del cual se modifica el Acuerdo No. 002 de 2012 ‘Por el cual se establece el Reglamento Interno del Consejo Directivo de La Unidad Administrativa Especial de Gestión de Restitución de Tierras Despojadas - UAEGRTD”</w:t>
      </w:r>
      <w:bookmarkEnd w:id="0"/>
      <w:r w:rsidRPr="00634D65">
        <w:rPr>
          <w:rFonts w:ascii="Arial" w:hAnsi="Arial" w:cs="Arial"/>
          <w:color w:val="000000"/>
          <w:sz w:val="22"/>
          <w:szCs w:val="22"/>
          <w:bdr w:val="none" w:sz="0" w:space="0" w:color="auto" w:frame="1"/>
        </w:rPr>
        <w:br/>
      </w:r>
    </w:p>
    <w:p w:rsidR="00634D65" w:rsidRPr="00634D65" w:rsidRDefault="00634D65" w:rsidP="00634D65">
      <w:pPr>
        <w:pStyle w:val="Prrafodelista"/>
        <w:numPr>
          <w:ilvl w:val="0"/>
          <w:numId w:val="1"/>
        </w:numPr>
        <w:jc w:val="both"/>
        <w:rPr>
          <w:rFonts w:ascii="Arial" w:hAnsi="Arial" w:cs="Arial"/>
          <w:color w:val="000000"/>
          <w:sz w:val="22"/>
          <w:szCs w:val="22"/>
        </w:rPr>
      </w:pPr>
      <w:r w:rsidRPr="00634D65">
        <w:rPr>
          <w:rFonts w:ascii="Arial" w:hAnsi="Arial" w:cs="Arial"/>
          <w:color w:val="000000"/>
          <w:sz w:val="22"/>
          <w:szCs w:val="22"/>
          <w:bdr w:val="none" w:sz="0" w:space="0" w:color="auto" w:frame="1"/>
        </w:rPr>
        <w:t>Varios</w:t>
      </w:r>
    </w:p>
    <w:p w:rsidR="00634D65" w:rsidRPr="00634D65" w:rsidRDefault="00634D65" w:rsidP="00634D65">
      <w:pPr>
        <w:jc w:val="both"/>
        <w:rPr>
          <w:rFonts w:ascii="Arial" w:hAnsi="Arial" w:cs="Arial"/>
          <w:color w:val="000000"/>
          <w:sz w:val="22"/>
          <w:szCs w:val="22"/>
        </w:rPr>
      </w:pPr>
    </w:p>
    <w:p w:rsidR="00634D65" w:rsidRPr="00634D65" w:rsidRDefault="00634D65" w:rsidP="00634D65">
      <w:pPr>
        <w:jc w:val="both"/>
        <w:rPr>
          <w:rFonts w:ascii="Arial" w:hAnsi="Arial" w:cs="Arial"/>
          <w:color w:val="000000"/>
          <w:sz w:val="22"/>
          <w:szCs w:val="22"/>
        </w:rPr>
      </w:pPr>
      <w:r w:rsidRPr="00634D65">
        <w:rPr>
          <w:rFonts w:ascii="Arial" w:hAnsi="Arial" w:cs="Arial"/>
          <w:color w:val="000000"/>
          <w:sz w:val="22"/>
          <w:szCs w:val="22"/>
        </w:rPr>
        <w:t>A la mencionada sesión asistieron los siguientes integrantes</w:t>
      </w:r>
      <w:r w:rsidR="004F2C1F">
        <w:rPr>
          <w:rFonts w:ascii="Arial" w:hAnsi="Arial" w:cs="Arial"/>
          <w:color w:val="000000"/>
          <w:sz w:val="22"/>
          <w:szCs w:val="22"/>
        </w:rPr>
        <w:t xml:space="preserve"> del Consejo Directivo</w:t>
      </w:r>
      <w:r w:rsidRPr="00634D65">
        <w:rPr>
          <w:rFonts w:ascii="Arial" w:hAnsi="Arial" w:cs="Arial"/>
          <w:color w:val="000000"/>
          <w:sz w:val="22"/>
          <w:szCs w:val="22"/>
        </w:rPr>
        <w:t>:</w:t>
      </w:r>
    </w:p>
    <w:p w:rsidR="00634D65" w:rsidRPr="00634D65" w:rsidRDefault="00634D65" w:rsidP="00634D65">
      <w:pPr>
        <w:jc w:val="both"/>
        <w:rPr>
          <w:rFonts w:ascii="Arial" w:hAnsi="Arial" w:cs="Arial"/>
          <w:color w:val="000000"/>
          <w:sz w:val="22"/>
          <w:szCs w:val="22"/>
        </w:rPr>
      </w:pPr>
    </w:p>
    <w:tbl>
      <w:tblPr>
        <w:tblW w:w="8495" w:type="dxa"/>
        <w:tblLayout w:type="fixed"/>
        <w:tblCellMar>
          <w:left w:w="0" w:type="dxa"/>
          <w:right w:w="0" w:type="dxa"/>
        </w:tblCellMar>
        <w:tblLook w:val="04A0" w:firstRow="1" w:lastRow="0" w:firstColumn="1" w:lastColumn="0" w:noHBand="0" w:noVBand="1"/>
      </w:tblPr>
      <w:tblGrid>
        <w:gridCol w:w="3451"/>
        <w:gridCol w:w="5044"/>
      </w:tblGrid>
      <w:tr w:rsidR="00634D65" w:rsidRPr="00634D65" w:rsidTr="00634D65">
        <w:tc>
          <w:tcPr>
            <w:tcW w:w="345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34D65" w:rsidRPr="004F2C1F" w:rsidRDefault="00634D65" w:rsidP="00F6141E">
            <w:pPr>
              <w:pStyle w:val="Sinespaciado"/>
              <w:jc w:val="center"/>
              <w:rPr>
                <w:rFonts w:ascii="Arial" w:hAnsi="Arial" w:cs="Arial"/>
                <w:b/>
                <w:sz w:val="22"/>
                <w:szCs w:val="22"/>
                <w:shd w:val="clear" w:color="auto" w:fill="D9D9D9"/>
                <w:lang w:eastAsia="es-CO"/>
              </w:rPr>
            </w:pPr>
            <w:bookmarkStart w:id="1" w:name="_GoBack" w:colFirst="1" w:colLast="1"/>
            <w:r w:rsidRPr="004F2C1F">
              <w:rPr>
                <w:rFonts w:ascii="Arial" w:hAnsi="Arial" w:cs="Arial"/>
                <w:b/>
                <w:bCs/>
                <w:sz w:val="22"/>
                <w:szCs w:val="22"/>
                <w:shd w:val="clear" w:color="auto" w:fill="D9D9D9"/>
                <w:lang w:eastAsia="es-CO"/>
              </w:rPr>
              <w:t>Representante/ Delegado</w:t>
            </w:r>
          </w:p>
        </w:tc>
        <w:tc>
          <w:tcPr>
            <w:tcW w:w="50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34D65" w:rsidRPr="004F2C1F" w:rsidRDefault="00634D65" w:rsidP="00F6141E">
            <w:pPr>
              <w:pStyle w:val="Sinespaciado"/>
              <w:jc w:val="center"/>
              <w:rPr>
                <w:rFonts w:ascii="Arial" w:hAnsi="Arial" w:cs="Arial"/>
                <w:b/>
                <w:sz w:val="22"/>
                <w:szCs w:val="22"/>
                <w:shd w:val="clear" w:color="auto" w:fill="D9D9D9"/>
                <w:lang w:eastAsia="es-CO"/>
              </w:rPr>
            </w:pPr>
            <w:r w:rsidRPr="004F2C1F">
              <w:rPr>
                <w:rFonts w:ascii="Arial" w:hAnsi="Arial" w:cs="Arial"/>
                <w:b/>
                <w:bCs/>
                <w:sz w:val="22"/>
                <w:szCs w:val="22"/>
                <w:shd w:val="clear" w:color="auto" w:fill="D9D9D9"/>
                <w:lang w:eastAsia="es-CO"/>
              </w:rPr>
              <w:t>Entidad</w:t>
            </w:r>
          </w:p>
        </w:tc>
      </w:tr>
      <w:tr w:rsidR="00634D65" w:rsidRPr="00634D65" w:rsidTr="00634D65">
        <w:trPr>
          <w:trHeight w:val="577"/>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Javier Pérez Burgos</w:t>
            </w:r>
          </w:p>
        </w:tc>
        <w:tc>
          <w:tcPr>
            <w:tcW w:w="5044" w:type="dxa"/>
            <w:tcBorders>
              <w:top w:val="nil"/>
              <w:left w:val="nil"/>
              <w:bottom w:val="single" w:sz="8" w:space="0" w:color="auto"/>
              <w:right w:val="single" w:sz="8" w:space="0" w:color="auto"/>
            </w:tcBorders>
            <w:tcMar>
              <w:top w:w="0" w:type="dxa"/>
              <w:left w:w="108" w:type="dxa"/>
              <w:bottom w:w="0" w:type="dxa"/>
              <w:right w:w="108" w:type="dxa"/>
            </w:tcMar>
            <w:hideMark/>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Viceministro de Desarrollo Rural. Delegado Ministerio de Agricultura y Desarrollo Rural</w:t>
            </w:r>
          </w:p>
        </w:tc>
      </w:tr>
      <w:tr w:rsidR="00634D65" w:rsidRPr="00634D65" w:rsidTr="00634D65">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color w:val="4472C4" w:themeColor="accent1"/>
                <w:sz w:val="22"/>
                <w:szCs w:val="22"/>
                <w:lang w:eastAsia="es-CO"/>
              </w:rPr>
            </w:pPr>
            <w:r w:rsidRPr="00634D65">
              <w:rPr>
                <w:rFonts w:ascii="Arial" w:hAnsi="Arial" w:cs="Arial"/>
                <w:sz w:val="22"/>
                <w:szCs w:val="22"/>
                <w:lang w:eastAsia="es-CO"/>
              </w:rPr>
              <w:t>María Olga Peña Mariño</w:t>
            </w: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color w:val="4472C4" w:themeColor="accent1"/>
                <w:sz w:val="22"/>
                <w:szCs w:val="22"/>
                <w:lang w:eastAsia="es-CO"/>
              </w:rPr>
            </w:pPr>
            <w:r w:rsidRPr="00634D65">
              <w:rPr>
                <w:rFonts w:ascii="Arial" w:hAnsi="Arial" w:cs="Arial"/>
                <w:sz w:val="22"/>
                <w:szCs w:val="22"/>
                <w:lang w:eastAsia="es-CO"/>
              </w:rPr>
              <w:t>Delegada Departamento Nacional de Planeación</w:t>
            </w:r>
          </w:p>
        </w:tc>
      </w:tr>
      <w:tr w:rsidR="00634D65" w:rsidRPr="00634D65" w:rsidTr="00634D65">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Soledad Ramírez Saldaña</w:t>
            </w: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rsidR="00634D65" w:rsidRPr="00634D65" w:rsidRDefault="00634D65" w:rsidP="00634D65">
            <w:pPr>
              <w:pStyle w:val="Sinespaciado"/>
              <w:ind w:right="943"/>
              <w:jc w:val="both"/>
              <w:rPr>
                <w:rFonts w:ascii="Arial" w:hAnsi="Arial" w:cs="Arial"/>
                <w:sz w:val="22"/>
                <w:szCs w:val="22"/>
                <w:lang w:eastAsia="es-CO"/>
              </w:rPr>
            </w:pPr>
            <w:r w:rsidRPr="00634D65">
              <w:rPr>
                <w:rFonts w:ascii="Arial" w:hAnsi="Arial" w:cs="Arial"/>
                <w:sz w:val="22"/>
                <w:szCs w:val="22"/>
                <w:lang w:eastAsia="es-CO"/>
              </w:rPr>
              <w:t>Delegado Unidad Administrativa Especial para la Atención y Reparación Integral de Víctimas</w:t>
            </w:r>
          </w:p>
        </w:tc>
      </w:tr>
      <w:tr w:rsidR="00634D65" w:rsidRPr="00634D65" w:rsidTr="00634D65">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Miguel Ocampo Gómez</w:t>
            </w: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Delegado Agencia Nacional de Tierras</w:t>
            </w:r>
          </w:p>
        </w:tc>
      </w:tr>
      <w:tr w:rsidR="00634D65" w:rsidRPr="00634D65" w:rsidTr="00634D65">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Jorge Camargo Carvajal</w:t>
            </w: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Delegado Defensoría del Pueblo</w:t>
            </w:r>
          </w:p>
        </w:tc>
      </w:tr>
      <w:tr w:rsidR="00634D65" w:rsidRPr="00634D65" w:rsidTr="00634D65">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Clara Sarmiento Arzuaga</w:t>
            </w: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Delegada Fondo para el Financiamiento Agropecuario</w:t>
            </w:r>
          </w:p>
        </w:tc>
      </w:tr>
      <w:tr w:rsidR="00634D65" w:rsidRPr="00634D65" w:rsidTr="00634D65">
        <w:trPr>
          <w:trHeight w:val="220"/>
        </w:trPr>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Maicol Andrés Martínez Vásquez</w:t>
            </w:r>
          </w:p>
        </w:tc>
        <w:tc>
          <w:tcPr>
            <w:tcW w:w="5044" w:type="dxa"/>
            <w:tcBorders>
              <w:top w:val="nil"/>
              <w:left w:val="nil"/>
              <w:bottom w:val="single" w:sz="8" w:space="0" w:color="auto"/>
              <w:right w:val="single" w:sz="8" w:space="0" w:color="auto"/>
            </w:tcBorders>
            <w:tcMar>
              <w:top w:w="0" w:type="dxa"/>
              <w:left w:w="108" w:type="dxa"/>
              <w:bottom w:w="0" w:type="dxa"/>
              <w:right w:w="108" w:type="dxa"/>
            </w:tcMar>
            <w:hideMark/>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 xml:space="preserve">Representante Mesa Nacional de Participación de Víctimas </w:t>
            </w:r>
          </w:p>
        </w:tc>
      </w:tr>
      <w:tr w:rsidR="00634D65" w:rsidRPr="00634D65" w:rsidTr="00634D65">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Rubiela Benítez Henríquez</w:t>
            </w: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rPr>
            </w:pPr>
            <w:r w:rsidRPr="00634D65">
              <w:rPr>
                <w:rFonts w:ascii="Arial" w:hAnsi="Arial" w:cs="Arial"/>
                <w:sz w:val="22"/>
                <w:szCs w:val="22"/>
                <w:lang w:eastAsia="es-CO"/>
              </w:rPr>
              <w:t>Representante Mesa Nacional de Participación de Víctimas</w:t>
            </w:r>
          </w:p>
        </w:tc>
      </w:tr>
      <w:tr w:rsidR="00634D65" w:rsidRPr="00634D65" w:rsidTr="00634D65">
        <w:tc>
          <w:tcPr>
            <w:tcW w:w="3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proofErr w:type="spellStart"/>
            <w:r w:rsidRPr="00634D65">
              <w:rPr>
                <w:rFonts w:ascii="Arial" w:hAnsi="Arial" w:cs="Arial"/>
                <w:sz w:val="22"/>
                <w:szCs w:val="22"/>
                <w:lang w:eastAsia="es-CO"/>
              </w:rPr>
              <w:t>Solany</w:t>
            </w:r>
            <w:proofErr w:type="spellEnd"/>
            <w:r w:rsidRPr="00634D65">
              <w:rPr>
                <w:rFonts w:ascii="Arial" w:hAnsi="Arial" w:cs="Arial"/>
                <w:sz w:val="22"/>
                <w:szCs w:val="22"/>
                <w:lang w:eastAsia="es-CO"/>
              </w:rPr>
              <w:t xml:space="preserve"> </w:t>
            </w:r>
            <w:proofErr w:type="spellStart"/>
            <w:r w:rsidRPr="00634D65">
              <w:rPr>
                <w:rFonts w:ascii="Arial" w:hAnsi="Arial" w:cs="Arial"/>
                <w:sz w:val="22"/>
                <w:szCs w:val="22"/>
                <w:lang w:eastAsia="es-CO"/>
              </w:rPr>
              <w:t>Loango</w:t>
            </w:r>
            <w:proofErr w:type="spellEnd"/>
            <w:r w:rsidRPr="00634D65">
              <w:rPr>
                <w:rFonts w:ascii="Arial" w:hAnsi="Arial" w:cs="Arial"/>
                <w:sz w:val="22"/>
                <w:szCs w:val="22"/>
                <w:lang w:eastAsia="es-CO"/>
              </w:rPr>
              <w:t xml:space="preserve"> Garcés</w:t>
            </w: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lang w:eastAsia="es-CO"/>
              </w:rPr>
              <w:t>Representante Comunidades Negras, afrodescendientes, raizales y palenqueras</w:t>
            </w:r>
          </w:p>
        </w:tc>
      </w:tr>
      <w:tr w:rsidR="00634D65" w:rsidRPr="00634D65" w:rsidTr="00634D65">
        <w:tc>
          <w:tcPr>
            <w:tcW w:w="3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rPr>
              <w:t>Andrés Castro Forero</w:t>
            </w:r>
          </w:p>
        </w:tc>
        <w:tc>
          <w:tcPr>
            <w:tcW w:w="5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lang w:eastAsia="es-CO"/>
              </w:rPr>
            </w:pPr>
            <w:r w:rsidRPr="00634D65">
              <w:rPr>
                <w:rFonts w:ascii="Arial" w:hAnsi="Arial" w:cs="Arial"/>
                <w:sz w:val="22"/>
                <w:szCs w:val="22"/>
              </w:rPr>
              <w:t xml:space="preserve">Director Unidad de Restitución de Tierras. </w:t>
            </w:r>
          </w:p>
        </w:tc>
      </w:tr>
      <w:tr w:rsidR="00634D65" w:rsidRPr="00634D65" w:rsidTr="00634D65">
        <w:tc>
          <w:tcPr>
            <w:tcW w:w="3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rPr>
            </w:pPr>
            <w:r w:rsidRPr="00634D65">
              <w:rPr>
                <w:rFonts w:ascii="Arial" w:hAnsi="Arial" w:cs="Arial"/>
                <w:sz w:val="22"/>
                <w:szCs w:val="22"/>
              </w:rPr>
              <w:t>Marcela Morales Calderón</w:t>
            </w:r>
          </w:p>
        </w:tc>
        <w:tc>
          <w:tcPr>
            <w:tcW w:w="5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D65" w:rsidRPr="00634D65" w:rsidRDefault="00634D65" w:rsidP="00F6141E">
            <w:pPr>
              <w:pStyle w:val="Sinespaciado"/>
              <w:jc w:val="both"/>
              <w:rPr>
                <w:rFonts w:ascii="Arial" w:hAnsi="Arial" w:cs="Arial"/>
                <w:sz w:val="22"/>
                <w:szCs w:val="22"/>
              </w:rPr>
            </w:pPr>
            <w:r w:rsidRPr="00634D65">
              <w:rPr>
                <w:rFonts w:ascii="Arial" w:hAnsi="Arial" w:cs="Arial"/>
                <w:sz w:val="22"/>
                <w:szCs w:val="22"/>
              </w:rPr>
              <w:t>Secretaria Técnica</w:t>
            </w:r>
          </w:p>
        </w:tc>
      </w:tr>
      <w:bookmarkEnd w:id="1"/>
    </w:tbl>
    <w:p w:rsidR="00634D65" w:rsidRPr="00634D65" w:rsidRDefault="00634D65" w:rsidP="00634D65">
      <w:pPr>
        <w:jc w:val="both"/>
        <w:rPr>
          <w:rFonts w:ascii="Arial" w:hAnsi="Arial" w:cs="Arial"/>
          <w:color w:val="000000"/>
          <w:sz w:val="22"/>
          <w:szCs w:val="22"/>
        </w:rPr>
      </w:pPr>
    </w:p>
    <w:p w:rsidR="00634D65" w:rsidRPr="00634D65" w:rsidRDefault="00634D65" w:rsidP="00634D65">
      <w:pPr>
        <w:jc w:val="both"/>
        <w:rPr>
          <w:rFonts w:ascii="Arial" w:hAnsi="Arial" w:cs="Arial"/>
          <w:color w:val="000000"/>
          <w:sz w:val="22"/>
          <w:szCs w:val="22"/>
        </w:rPr>
      </w:pPr>
      <w:r w:rsidRPr="00634D65">
        <w:rPr>
          <w:rFonts w:ascii="Arial" w:hAnsi="Arial" w:cs="Arial"/>
          <w:color w:val="000000"/>
          <w:sz w:val="22"/>
          <w:szCs w:val="22"/>
        </w:rPr>
        <w:lastRenderedPageBreak/>
        <w:t xml:space="preserve">Igualmente, es necesario señalar que </w:t>
      </w:r>
      <w:r w:rsidRPr="00634D65">
        <w:rPr>
          <w:rFonts w:ascii="Arial" w:hAnsi="Arial" w:cs="Arial"/>
          <w:sz w:val="22"/>
          <w:szCs w:val="22"/>
        </w:rPr>
        <w:t>Diana Abaunza Millanes, Viceministra para las Políticas y Asuntos Internacionales del Ministerio de Defensa Nacional y Angela María Ramírez Rincón, Directora de Justicia Transicional del Ministerio de Justicia y del Derecho, emitieron voto virtual duración la sesión</w:t>
      </w:r>
      <w:r>
        <w:rPr>
          <w:rFonts w:ascii="Arial" w:hAnsi="Arial" w:cs="Arial"/>
          <w:sz w:val="22"/>
          <w:szCs w:val="22"/>
        </w:rPr>
        <w:t xml:space="preserve">. </w:t>
      </w:r>
    </w:p>
    <w:p w:rsidR="00634D65" w:rsidRPr="00634D65" w:rsidRDefault="00634D65">
      <w:pPr>
        <w:rPr>
          <w:rFonts w:ascii="Arial" w:hAnsi="Arial" w:cs="Arial"/>
          <w:sz w:val="22"/>
          <w:szCs w:val="22"/>
        </w:rPr>
      </w:pPr>
    </w:p>
    <w:sectPr w:rsidR="00634D65" w:rsidRPr="00634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922C6"/>
    <w:multiLevelType w:val="multilevel"/>
    <w:tmpl w:val="38E4E7D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65"/>
    <w:rsid w:val="004F2C1F"/>
    <w:rsid w:val="00534BB7"/>
    <w:rsid w:val="00634D65"/>
    <w:rsid w:val="00D87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E6F5"/>
  <w15:chartTrackingRefBased/>
  <w15:docId w15:val="{7E1AEAEC-C00B-40CF-B6EF-87962C50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D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D65"/>
    <w:pPr>
      <w:ind w:left="708"/>
    </w:pPr>
  </w:style>
  <w:style w:type="paragraph" w:styleId="Sinespaciado">
    <w:name w:val="No Spacing"/>
    <w:uiPriority w:val="1"/>
    <w:qFormat/>
    <w:rsid w:val="00634D65"/>
    <w:pPr>
      <w:spacing w:after="0"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Alejandra Morales Romero</dc:creator>
  <cp:keywords/>
  <dc:description/>
  <cp:lastModifiedBy>Monica Alejandra Morales Romero</cp:lastModifiedBy>
  <cp:revision>1</cp:revision>
  <dcterms:created xsi:type="dcterms:W3CDTF">2019-04-10T15:55:00Z</dcterms:created>
  <dcterms:modified xsi:type="dcterms:W3CDTF">2019-04-10T16:14:00Z</dcterms:modified>
</cp:coreProperties>
</file>