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98E" w:rsidRPr="000C0579" w:rsidRDefault="00C1198E" w:rsidP="00C1198E">
      <w:pPr>
        <w:spacing w:line="360" w:lineRule="auto"/>
        <w:jc w:val="center"/>
        <w:rPr>
          <w:rFonts w:ascii="Bookman Old Style" w:hAnsi="Bookman Old Style"/>
          <w:sz w:val="28"/>
          <w:szCs w:val="28"/>
        </w:rPr>
      </w:pPr>
      <w:bookmarkStart w:id="0" w:name="_GoBack"/>
      <w:bookmarkEnd w:id="0"/>
      <w:r w:rsidRPr="000C0579">
        <w:rPr>
          <w:rFonts w:ascii="Bookman Old Style" w:hAnsi="Bookman Old Style" w:cs="Estrangelo Edessa"/>
          <w:b/>
          <w:sz w:val="28"/>
          <w:szCs w:val="28"/>
          <w:lang w:val="pt-BR"/>
        </w:rPr>
        <w:t>CORTE SUPREMA DE JUSTICIA</w:t>
      </w:r>
    </w:p>
    <w:p w:rsidR="00C1198E" w:rsidRPr="000C0579" w:rsidRDefault="00C1198E" w:rsidP="00C1198E">
      <w:pPr>
        <w:spacing w:line="360" w:lineRule="auto"/>
        <w:jc w:val="center"/>
        <w:rPr>
          <w:rFonts w:ascii="Bookman Old Style" w:hAnsi="Bookman Old Style"/>
          <w:sz w:val="28"/>
          <w:szCs w:val="28"/>
        </w:rPr>
      </w:pPr>
      <w:r w:rsidRPr="000C0579">
        <w:rPr>
          <w:rFonts w:ascii="Bookman Old Style" w:hAnsi="Bookman Old Style" w:cs="Estrangelo Edessa"/>
          <w:b/>
          <w:sz w:val="28"/>
          <w:szCs w:val="28"/>
        </w:rPr>
        <w:t>SALA DE CASACIÓN LABORAL</w:t>
      </w:r>
    </w:p>
    <w:p w:rsidR="00C1198E" w:rsidRPr="000C0579" w:rsidRDefault="00C1198E" w:rsidP="00C1198E">
      <w:pPr>
        <w:spacing w:line="360" w:lineRule="auto"/>
        <w:jc w:val="center"/>
        <w:rPr>
          <w:rFonts w:ascii="Bookman Old Style" w:hAnsi="Bookman Old Style" w:cs="Estrangelo Edessa"/>
          <w:b/>
          <w:sz w:val="28"/>
          <w:szCs w:val="28"/>
        </w:rPr>
      </w:pPr>
    </w:p>
    <w:p w:rsidR="00C1198E" w:rsidRPr="000C0579" w:rsidRDefault="00C1198E" w:rsidP="00C1198E">
      <w:pPr>
        <w:spacing w:line="360" w:lineRule="auto"/>
        <w:jc w:val="center"/>
        <w:rPr>
          <w:rFonts w:ascii="Bookman Old Style" w:hAnsi="Bookman Old Style" w:cs="Estrangelo Edessa"/>
          <w:b/>
          <w:sz w:val="28"/>
          <w:szCs w:val="28"/>
        </w:rPr>
      </w:pPr>
    </w:p>
    <w:p w:rsidR="00C1198E" w:rsidRPr="000C0579" w:rsidRDefault="00C1198E" w:rsidP="00C1198E">
      <w:pPr>
        <w:spacing w:line="360" w:lineRule="auto"/>
        <w:jc w:val="center"/>
        <w:rPr>
          <w:rFonts w:ascii="Bookman Old Style" w:hAnsi="Bookman Old Style" w:cs="Estrangelo Edessa"/>
          <w:b/>
          <w:sz w:val="28"/>
          <w:szCs w:val="28"/>
        </w:rPr>
      </w:pPr>
      <w:r w:rsidRPr="000C0579">
        <w:rPr>
          <w:rFonts w:ascii="Bookman Old Style" w:hAnsi="Bookman Old Style" w:cs="Estrangelo Edessa"/>
          <w:b/>
          <w:sz w:val="28"/>
          <w:szCs w:val="28"/>
        </w:rPr>
        <w:t>CARLOS ERNESTO MOLINA MONSALVE</w:t>
      </w:r>
    </w:p>
    <w:p w:rsidR="00C1198E" w:rsidRPr="000C0579" w:rsidRDefault="00C1198E" w:rsidP="00C1198E">
      <w:pPr>
        <w:spacing w:line="360" w:lineRule="auto"/>
        <w:jc w:val="center"/>
        <w:rPr>
          <w:rFonts w:ascii="Bookman Old Style" w:hAnsi="Bookman Old Style" w:cs="Estrangelo Edessa"/>
          <w:b/>
          <w:sz w:val="28"/>
          <w:szCs w:val="28"/>
        </w:rPr>
      </w:pPr>
      <w:r w:rsidRPr="000C0579">
        <w:rPr>
          <w:rFonts w:ascii="Bookman Old Style" w:hAnsi="Bookman Old Style" w:cs="Estrangelo Edessa"/>
          <w:b/>
          <w:sz w:val="28"/>
          <w:szCs w:val="28"/>
        </w:rPr>
        <w:t>Magistrado Ponente</w:t>
      </w:r>
    </w:p>
    <w:p w:rsidR="00C1198E" w:rsidRPr="000C0579" w:rsidRDefault="00C1198E" w:rsidP="00C1198E">
      <w:pPr>
        <w:spacing w:line="360" w:lineRule="auto"/>
        <w:jc w:val="center"/>
        <w:rPr>
          <w:rFonts w:ascii="Bookman Old Style" w:hAnsi="Bookman Old Style" w:cs="Estrangelo Edessa"/>
          <w:b/>
          <w:sz w:val="28"/>
          <w:szCs w:val="28"/>
        </w:rPr>
      </w:pPr>
    </w:p>
    <w:p w:rsidR="00C1198E" w:rsidRPr="000C0579" w:rsidRDefault="00C1198E" w:rsidP="00C1198E">
      <w:pPr>
        <w:spacing w:line="360" w:lineRule="auto"/>
        <w:jc w:val="center"/>
        <w:rPr>
          <w:rFonts w:ascii="Bookman Old Style" w:hAnsi="Bookman Old Style" w:cs="Estrangelo Edessa"/>
          <w:b/>
          <w:sz w:val="28"/>
          <w:szCs w:val="28"/>
        </w:rPr>
      </w:pPr>
    </w:p>
    <w:p w:rsidR="00C1198E" w:rsidRPr="000C0579" w:rsidRDefault="00C1198E" w:rsidP="00C1198E">
      <w:pPr>
        <w:spacing w:line="360" w:lineRule="auto"/>
        <w:jc w:val="center"/>
        <w:rPr>
          <w:rFonts w:ascii="Bookman Old Style" w:hAnsi="Bookman Old Style" w:cs="Estrangelo Edessa"/>
          <w:b/>
          <w:sz w:val="28"/>
          <w:szCs w:val="28"/>
        </w:rPr>
      </w:pPr>
      <w:r w:rsidRPr="00656044">
        <w:rPr>
          <w:rFonts w:ascii="Bookman Old Style" w:hAnsi="Bookman Old Style" w:cs="Estrangelo Edessa"/>
          <w:b/>
          <w:sz w:val="28"/>
          <w:szCs w:val="28"/>
        </w:rPr>
        <w:t>STL3957-2014</w:t>
      </w:r>
    </w:p>
    <w:p w:rsidR="00C1198E" w:rsidRPr="000C0579" w:rsidRDefault="00C1198E" w:rsidP="00C1198E">
      <w:pPr>
        <w:spacing w:line="360" w:lineRule="auto"/>
        <w:ind w:firstLine="2"/>
        <w:jc w:val="center"/>
        <w:rPr>
          <w:rFonts w:ascii="Bookman Old Style" w:hAnsi="Bookman Old Style" w:cs="Estrangelo Edessa"/>
          <w:b/>
          <w:sz w:val="28"/>
          <w:szCs w:val="28"/>
        </w:rPr>
      </w:pPr>
      <w:r w:rsidRPr="000C0579">
        <w:rPr>
          <w:rFonts w:ascii="Bookman Old Style" w:hAnsi="Bookman Old Style" w:cs="Estrangelo Edessa"/>
          <w:b/>
          <w:sz w:val="28"/>
          <w:szCs w:val="28"/>
        </w:rPr>
        <w:t xml:space="preserve">Radicación N° </w:t>
      </w:r>
      <w:r>
        <w:rPr>
          <w:rFonts w:ascii="Bookman Old Style" w:hAnsi="Bookman Old Style"/>
          <w:b/>
          <w:color w:val="000000"/>
          <w:sz w:val="28"/>
          <w:szCs w:val="28"/>
        </w:rPr>
        <w:t>52949</w:t>
      </w:r>
    </w:p>
    <w:p w:rsidR="00C1198E" w:rsidRPr="000C0579" w:rsidRDefault="00C1198E" w:rsidP="00C1198E">
      <w:pPr>
        <w:spacing w:line="360" w:lineRule="auto"/>
        <w:ind w:firstLine="708"/>
        <w:jc w:val="center"/>
        <w:rPr>
          <w:rFonts w:ascii="Bookman Old Style" w:hAnsi="Bookman Old Style"/>
          <w:b/>
          <w:color w:val="000000"/>
          <w:sz w:val="28"/>
          <w:szCs w:val="28"/>
        </w:rPr>
      </w:pPr>
      <w:r w:rsidRPr="000C0579">
        <w:rPr>
          <w:rFonts w:ascii="Bookman Old Style" w:hAnsi="Bookman Old Style" w:cs="Estrangelo Edessa"/>
          <w:b/>
          <w:sz w:val="28"/>
          <w:szCs w:val="28"/>
        </w:rPr>
        <w:t>Acta N°</w:t>
      </w:r>
      <w:r>
        <w:rPr>
          <w:rFonts w:ascii="Bookman Old Style" w:hAnsi="Bookman Old Style" w:cs="Estrangelo Edessa"/>
          <w:b/>
          <w:sz w:val="28"/>
          <w:szCs w:val="28"/>
        </w:rPr>
        <w:t>10</w:t>
      </w:r>
    </w:p>
    <w:p w:rsidR="00C1198E" w:rsidRPr="000C0579" w:rsidRDefault="00C1198E" w:rsidP="00C1198E">
      <w:pPr>
        <w:spacing w:line="360" w:lineRule="auto"/>
        <w:rPr>
          <w:rFonts w:ascii="Bookman Old Style" w:hAnsi="Bookman Old Style" w:cs="Estrangelo Edessa"/>
          <w:b/>
          <w:sz w:val="28"/>
          <w:szCs w:val="28"/>
        </w:rPr>
      </w:pPr>
    </w:p>
    <w:p w:rsidR="00C1198E" w:rsidRPr="000C0579" w:rsidRDefault="00C1198E" w:rsidP="00C1198E">
      <w:pPr>
        <w:spacing w:line="360" w:lineRule="auto"/>
        <w:ind w:firstLine="3"/>
        <w:jc w:val="center"/>
        <w:rPr>
          <w:rFonts w:ascii="Bookman Old Style" w:hAnsi="Bookman Old Style" w:cs="Estrangelo Edessa"/>
          <w:b/>
          <w:sz w:val="28"/>
          <w:szCs w:val="28"/>
        </w:rPr>
      </w:pPr>
    </w:p>
    <w:p w:rsidR="00C1198E" w:rsidRPr="000C0579" w:rsidRDefault="00C1198E" w:rsidP="00C1198E">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Bogotá, D.C., veintiséis (26</w:t>
      </w:r>
      <w:r w:rsidRPr="000C0579">
        <w:rPr>
          <w:rFonts w:ascii="Bookman Old Style" w:hAnsi="Bookman Old Style" w:cs="Estrangelo Edessa"/>
          <w:sz w:val="28"/>
          <w:szCs w:val="28"/>
        </w:rPr>
        <w:t xml:space="preserve">) de </w:t>
      </w:r>
      <w:r>
        <w:rPr>
          <w:rFonts w:ascii="Bookman Old Style" w:hAnsi="Bookman Old Style" w:cs="Estrangelo Edessa"/>
          <w:sz w:val="28"/>
          <w:szCs w:val="28"/>
        </w:rPr>
        <w:t>marzo</w:t>
      </w:r>
      <w:r w:rsidRPr="000C0579">
        <w:rPr>
          <w:rFonts w:ascii="Bookman Old Style" w:hAnsi="Bookman Old Style" w:cs="Estrangelo Edessa"/>
          <w:sz w:val="28"/>
          <w:szCs w:val="28"/>
        </w:rPr>
        <w:t xml:space="preserve"> de dos mil catorce (2014).</w:t>
      </w:r>
    </w:p>
    <w:p w:rsidR="00C1198E" w:rsidRPr="000C0579" w:rsidRDefault="00C1198E" w:rsidP="00C1198E">
      <w:pPr>
        <w:tabs>
          <w:tab w:val="left" w:pos="1985"/>
        </w:tabs>
        <w:spacing w:line="360" w:lineRule="auto"/>
        <w:jc w:val="both"/>
        <w:rPr>
          <w:rFonts w:ascii="Bookman Old Style" w:hAnsi="Bookman Old Style" w:cs="Estrangelo Edessa"/>
          <w:sz w:val="28"/>
          <w:szCs w:val="28"/>
        </w:rPr>
      </w:pPr>
    </w:p>
    <w:p w:rsidR="00C1198E" w:rsidRPr="000C0579" w:rsidRDefault="00C1198E" w:rsidP="00C1198E">
      <w:pPr>
        <w:tabs>
          <w:tab w:val="left" w:pos="1985"/>
        </w:tabs>
        <w:spacing w:line="360" w:lineRule="auto"/>
        <w:jc w:val="both"/>
        <w:rPr>
          <w:rFonts w:ascii="Bookman Old Style" w:hAnsi="Bookman Old Style" w:cs="Estrangelo Edessa"/>
          <w:sz w:val="28"/>
          <w:szCs w:val="28"/>
        </w:rPr>
      </w:pPr>
    </w:p>
    <w:p w:rsidR="00C1198E" w:rsidRPr="00924578" w:rsidRDefault="00C1198E" w:rsidP="00C1198E">
      <w:pPr>
        <w:spacing w:line="360" w:lineRule="auto"/>
        <w:ind w:firstLine="708"/>
        <w:jc w:val="both"/>
        <w:rPr>
          <w:rFonts w:ascii="Bookman Old Style" w:hAnsi="Bookman Old Style"/>
          <w:b/>
          <w:color w:val="000000"/>
          <w:sz w:val="28"/>
          <w:szCs w:val="28"/>
        </w:rPr>
      </w:pPr>
      <w:r w:rsidRPr="000C0579">
        <w:rPr>
          <w:rFonts w:ascii="Bookman Old Style" w:hAnsi="Bookman Old Style"/>
          <w:color w:val="000000"/>
          <w:sz w:val="28"/>
          <w:szCs w:val="28"/>
        </w:rPr>
        <w:t xml:space="preserve"> Se procede a resolver la impugnación presentada por </w:t>
      </w:r>
      <w:r>
        <w:rPr>
          <w:rFonts w:ascii="Bookman Old Style" w:hAnsi="Bookman Old Style"/>
          <w:color w:val="000000"/>
          <w:sz w:val="28"/>
          <w:szCs w:val="28"/>
        </w:rPr>
        <w:t xml:space="preserve">la apoderada de </w:t>
      </w:r>
      <w:r>
        <w:rPr>
          <w:rFonts w:ascii="Bookman Old Style" w:hAnsi="Bookman Old Style"/>
          <w:b/>
          <w:color w:val="000000"/>
          <w:sz w:val="28"/>
          <w:szCs w:val="28"/>
        </w:rPr>
        <w:t xml:space="preserve">MANUEL JOSÉ MEDINA MUÑETÓN </w:t>
      </w:r>
      <w:r w:rsidRPr="00637AD0">
        <w:rPr>
          <w:rFonts w:ascii="Bookman Old Style" w:hAnsi="Bookman Old Style"/>
          <w:color w:val="000000"/>
          <w:sz w:val="28"/>
          <w:szCs w:val="28"/>
        </w:rPr>
        <w:t>y la</w:t>
      </w:r>
      <w:r>
        <w:rPr>
          <w:rFonts w:ascii="Bookman Old Style" w:hAnsi="Bookman Old Style"/>
          <w:b/>
          <w:color w:val="000000"/>
          <w:sz w:val="28"/>
          <w:szCs w:val="28"/>
        </w:rPr>
        <w:t xml:space="preserve"> SOCIEDAD AGROPECUARIA CARMEN DE BOLÍVAR S.A.</w:t>
      </w:r>
      <w:r w:rsidRPr="000C0579">
        <w:rPr>
          <w:rFonts w:ascii="Bookman Old Style" w:hAnsi="Bookman Old Style"/>
          <w:b/>
          <w:color w:val="000000"/>
          <w:sz w:val="28"/>
          <w:szCs w:val="28"/>
        </w:rPr>
        <w:t xml:space="preserve">, </w:t>
      </w:r>
      <w:r w:rsidRPr="000C0579">
        <w:rPr>
          <w:rFonts w:ascii="Bookman Old Style" w:hAnsi="Bookman Old Style"/>
          <w:color w:val="000000"/>
          <w:sz w:val="28"/>
          <w:szCs w:val="28"/>
        </w:rPr>
        <w:t xml:space="preserve">contra el fallo proferido por la SALA </w:t>
      </w:r>
      <w:r>
        <w:rPr>
          <w:rFonts w:ascii="Bookman Old Style" w:hAnsi="Bookman Old Style"/>
          <w:color w:val="000000"/>
          <w:sz w:val="28"/>
          <w:szCs w:val="28"/>
        </w:rPr>
        <w:t>DE CASACIÓN CIVIL DE LA CORTE SUPREMA DE JUSTICIA</w:t>
      </w:r>
      <w:r w:rsidRPr="000C0579">
        <w:rPr>
          <w:rFonts w:ascii="Bookman Old Style" w:hAnsi="Bookman Old Style"/>
          <w:color w:val="000000"/>
          <w:sz w:val="28"/>
          <w:szCs w:val="28"/>
        </w:rPr>
        <w:t xml:space="preserve">, dentro de </w:t>
      </w:r>
      <w:r>
        <w:rPr>
          <w:rFonts w:ascii="Bookman Old Style" w:hAnsi="Bookman Old Style"/>
          <w:color w:val="000000"/>
          <w:sz w:val="28"/>
          <w:szCs w:val="28"/>
        </w:rPr>
        <w:t>la acción de tutela que instauraron</w:t>
      </w:r>
      <w:r w:rsidRPr="000C0579">
        <w:rPr>
          <w:rFonts w:ascii="Bookman Old Style" w:hAnsi="Bookman Old Style"/>
          <w:color w:val="000000"/>
          <w:sz w:val="28"/>
          <w:szCs w:val="28"/>
        </w:rPr>
        <w:t xml:space="preserve"> </w:t>
      </w:r>
      <w:r>
        <w:rPr>
          <w:rFonts w:ascii="Bookman Old Style" w:hAnsi="Bookman Old Style"/>
          <w:color w:val="000000"/>
          <w:sz w:val="28"/>
          <w:szCs w:val="28"/>
        </w:rPr>
        <w:t>los</w:t>
      </w:r>
      <w:r w:rsidRPr="000C0579">
        <w:rPr>
          <w:rFonts w:ascii="Bookman Old Style" w:hAnsi="Bookman Old Style"/>
          <w:color w:val="000000"/>
          <w:sz w:val="28"/>
          <w:szCs w:val="28"/>
        </w:rPr>
        <w:t xml:space="preserve"> recurrente</w:t>
      </w:r>
      <w:r>
        <w:rPr>
          <w:rFonts w:ascii="Bookman Old Style" w:hAnsi="Bookman Old Style"/>
          <w:color w:val="000000"/>
          <w:sz w:val="28"/>
          <w:szCs w:val="28"/>
        </w:rPr>
        <w:t>s</w:t>
      </w:r>
      <w:r w:rsidRPr="000C0579">
        <w:rPr>
          <w:rFonts w:ascii="Bookman Old Style" w:hAnsi="Bookman Old Style"/>
          <w:color w:val="000000"/>
          <w:sz w:val="28"/>
          <w:szCs w:val="28"/>
        </w:rPr>
        <w:t xml:space="preserve"> contra</w:t>
      </w:r>
      <w:r>
        <w:rPr>
          <w:rFonts w:ascii="Bookman Old Style" w:hAnsi="Bookman Old Style"/>
          <w:color w:val="000000"/>
          <w:sz w:val="28"/>
          <w:szCs w:val="28"/>
        </w:rPr>
        <w:t xml:space="preserve"> </w:t>
      </w:r>
      <w:r w:rsidRPr="000C0579">
        <w:rPr>
          <w:rFonts w:ascii="Bookman Old Style" w:hAnsi="Bookman Old Style"/>
          <w:color w:val="000000"/>
          <w:sz w:val="28"/>
          <w:szCs w:val="28"/>
        </w:rPr>
        <w:t xml:space="preserve">la </w:t>
      </w:r>
      <w:r w:rsidRPr="001D00B0">
        <w:rPr>
          <w:rFonts w:ascii="Bookman Old Style" w:hAnsi="Bookman Old Style"/>
          <w:b/>
          <w:color w:val="000000"/>
          <w:sz w:val="28"/>
          <w:szCs w:val="28"/>
        </w:rPr>
        <w:t>SALA CIVIL ESPECIALIZADA EN RESTITUCIÓN DE TIERRAS DEL TRIBUNAL SUPERIOR DEL DISTRITO JUDICIAL DE CARTAGENA</w:t>
      </w:r>
      <w:r>
        <w:rPr>
          <w:rFonts w:ascii="Bookman Old Style" w:hAnsi="Bookman Old Style"/>
          <w:color w:val="000000"/>
          <w:sz w:val="28"/>
          <w:szCs w:val="28"/>
        </w:rPr>
        <w:t xml:space="preserve">, trámite al cual se vincularon el Juzgado Segundo de la misma especialidad y ciudad, Estela María Sierra </w:t>
      </w:r>
      <w:proofErr w:type="spellStart"/>
      <w:r>
        <w:rPr>
          <w:rFonts w:ascii="Bookman Old Style" w:hAnsi="Bookman Old Style"/>
          <w:color w:val="000000"/>
          <w:sz w:val="28"/>
          <w:szCs w:val="28"/>
        </w:rPr>
        <w:t>Sierra</w:t>
      </w:r>
      <w:proofErr w:type="spellEnd"/>
      <w:r>
        <w:rPr>
          <w:rFonts w:ascii="Bookman Old Style" w:hAnsi="Bookman Old Style"/>
          <w:color w:val="000000"/>
          <w:sz w:val="28"/>
          <w:szCs w:val="28"/>
        </w:rPr>
        <w:t xml:space="preserve">, el Procurador 2° Delegado en Restitución de Tierras, la Unidad Administrativa Especial de Gestión de </w:t>
      </w:r>
      <w:r>
        <w:rPr>
          <w:rFonts w:ascii="Bookman Old Style" w:hAnsi="Bookman Old Style"/>
          <w:color w:val="000000"/>
          <w:sz w:val="28"/>
          <w:szCs w:val="28"/>
        </w:rPr>
        <w:lastRenderedPageBreak/>
        <w:t>Restitución de Tierras, Eliseo Sierra Amorocho y la Fiscalía General de la Nación.</w:t>
      </w:r>
    </w:p>
    <w:p w:rsidR="00C1198E" w:rsidRDefault="00C1198E" w:rsidP="00C1198E">
      <w:pPr>
        <w:spacing w:line="360" w:lineRule="auto"/>
        <w:ind w:firstLine="708"/>
        <w:jc w:val="both"/>
        <w:rPr>
          <w:rFonts w:ascii="Bookman Old Style" w:hAnsi="Bookman Old Style"/>
          <w:color w:val="000000"/>
          <w:sz w:val="28"/>
          <w:szCs w:val="28"/>
        </w:rPr>
      </w:pPr>
    </w:p>
    <w:p w:rsidR="00C1198E" w:rsidRPr="00194F7C" w:rsidRDefault="00C1198E" w:rsidP="00C1198E">
      <w:pPr>
        <w:spacing w:line="360" w:lineRule="auto"/>
        <w:ind w:firstLine="708"/>
        <w:jc w:val="both"/>
        <w:rPr>
          <w:rFonts w:ascii="Bookman Old Style" w:hAnsi="Bookman Old Style"/>
          <w:color w:val="000000"/>
          <w:sz w:val="28"/>
          <w:szCs w:val="28"/>
        </w:rPr>
      </w:pPr>
    </w:p>
    <w:p w:rsidR="00C1198E" w:rsidRPr="000C0579" w:rsidRDefault="00C1198E" w:rsidP="00C1198E">
      <w:pPr>
        <w:numPr>
          <w:ilvl w:val="0"/>
          <w:numId w:val="1"/>
        </w:numPr>
        <w:spacing w:line="360" w:lineRule="auto"/>
        <w:jc w:val="center"/>
        <w:rPr>
          <w:rFonts w:ascii="Bookman Old Style" w:hAnsi="Bookman Old Style"/>
          <w:b/>
          <w:color w:val="000000"/>
          <w:sz w:val="28"/>
          <w:szCs w:val="28"/>
        </w:rPr>
      </w:pPr>
      <w:r w:rsidRPr="000C0579">
        <w:rPr>
          <w:rFonts w:ascii="Bookman Old Style" w:hAnsi="Bookman Old Style"/>
          <w:b/>
          <w:color w:val="000000"/>
          <w:sz w:val="28"/>
          <w:szCs w:val="28"/>
        </w:rPr>
        <w:t>ANTECEDENTES</w:t>
      </w:r>
    </w:p>
    <w:p w:rsidR="00C1198E" w:rsidRDefault="00C1198E" w:rsidP="00C1198E">
      <w:pPr>
        <w:tabs>
          <w:tab w:val="left" w:pos="1428"/>
        </w:tabs>
        <w:spacing w:line="360" w:lineRule="auto"/>
        <w:ind w:left="1429"/>
        <w:jc w:val="both"/>
        <w:rPr>
          <w:rFonts w:ascii="Bookman Old Style" w:hAnsi="Bookman Old Style" w:cs="Estrangelo Edessa"/>
          <w:bCs/>
          <w:noProof/>
          <w:sz w:val="28"/>
          <w:szCs w:val="28"/>
          <w:lang w:eastAsia="es-CO"/>
        </w:rPr>
      </w:pPr>
    </w:p>
    <w:p w:rsidR="00C1198E" w:rsidRDefault="00C1198E" w:rsidP="00C1198E">
      <w:pPr>
        <w:tabs>
          <w:tab w:val="left" w:pos="1428"/>
        </w:tabs>
        <w:spacing w:line="360" w:lineRule="auto"/>
        <w:ind w:left="1429"/>
        <w:jc w:val="both"/>
        <w:rPr>
          <w:rFonts w:ascii="Bookman Old Style" w:hAnsi="Bookman Old Style" w:cs="Estrangelo Edessa"/>
          <w:bCs/>
          <w:noProof/>
          <w:sz w:val="28"/>
          <w:szCs w:val="28"/>
          <w:lang w:eastAsia="es-CO"/>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Se plantea en</w:t>
      </w:r>
      <w:r w:rsidRPr="00E66855">
        <w:rPr>
          <w:rFonts w:ascii="Bookman Old Style" w:hAnsi="Bookman Old Style"/>
          <w:sz w:val="28"/>
          <w:szCs w:val="28"/>
          <w:shd w:val="clear" w:color="auto" w:fill="FFFFFF"/>
          <w:lang w:val="es-ES_tradnl"/>
        </w:rPr>
        <w:t xml:space="preserve"> el</w:t>
      </w:r>
      <w:r>
        <w:rPr>
          <w:rFonts w:ascii="Bookman Old Style" w:hAnsi="Bookman Old Style"/>
          <w:sz w:val="28"/>
          <w:szCs w:val="28"/>
          <w:shd w:val="clear" w:color="auto" w:fill="FFFFFF"/>
          <w:lang w:val="es-ES_tradnl"/>
        </w:rPr>
        <w:t xml:space="preserve"> escrito de tutela que Estela María Sierra </w:t>
      </w:r>
      <w:proofErr w:type="spellStart"/>
      <w:r>
        <w:rPr>
          <w:rFonts w:ascii="Bookman Old Style" w:hAnsi="Bookman Old Style"/>
          <w:sz w:val="28"/>
          <w:szCs w:val="28"/>
          <w:shd w:val="clear" w:color="auto" w:fill="FFFFFF"/>
          <w:lang w:val="es-ES_tradnl"/>
        </w:rPr>
        <w:t>Sierra</w:t>
      </w:r>
      <w:proofErr w:type="spellEnd"/>
      <w:r>
        <w:rPr>
          <w:rFonts w:ascii="Bookman Old Style" w:hAnsi="Bookman Old Style"/>
          <w:sz w:val="28"/>
          <w:szCs w:val="28"/>
          <w:shd w:val="clear" w:color="auto" w:fill="FFFFFF"/>
          <w:lang w:val="es-ES_tradnl"/>
        </w:rPr>
        <w:t xml:space="preserve">, el 8 de abril de 2008, prometió en venta a Manuel José Medina </w:t>
      </w:r>
      <w:proofErr w:type="spellStart"/>
      <w:r>
        <w:rPr>
          <w:rFonts w:ascii="Bookman Old Style" w:hAnsi="Bookman Old Style"/>
          <w:sz w:val="28"/>
          <w:szCs w:val="28"/>
          <w:shd w:val="clear" w:color="auto" w:fill="FFFFFF"/>
          <w:lang w:val="es-ES_tradnl"/>
        </w:rPr>
        <w:t>Muñetón</w:t>
      </w:r>
      <w:proofErr w:type="spellEnd"/>
      <w:r>
        <w:rPr>
          <w:rFonts w:ascii="Bookman Old Style" w:hAnsi="Bookman Old Style"/>
          <w:sz w:val="28"/>
          <w:szCs w:val="28"/>
          <w:shd w:val="clear" w:color="auto" w:fill="FFFFFF"/>
          <w:lang w:val="es-ES_tradnl"/>
        </w:rPr>
        <w:t xml:space="preserve"> el predio </w:t>
      </w:r>
      <w:r w:rsidRPr="00750AAE">
        <w:rPr>
          <w:rFonts w:ascii="Bookman Old Style" w:hAnsi="Bookman Old Style"/>
          <w:i/>
          <w:sz w:val="24"/>
          <w:szCs w:val="24"/>
          <w:shd w:val="clear" w:color="auto" w:fill="FFFFFF"/>
          <w:lang w:val="es-ES_tradnl"/>
        </w:rPr>
        <w:t>«</w:t>
      </w:r>
      <w:proofErr w:type="spellStart"/>
      <w:r w:rsidRPr="00750AAE">
        <w:rPr>
          <w:rFonts w:ascii="Bookman Old Style" w:hAnsi="Bookman Old Style"/>
          <w:i/>
          <w:sz w:val="24"/>
          <w:szCs w:val="24"/>
          <w:shd w:val="clear" w:color="auto" w:fill="FFFFFF"/>
          <w:lang w:val="es-ES_tradnl"/>
        </w:rPr>
        <w:t>Cocuelo</w:t>
      </w:r>
      <w:proofErr w:type="spellEnd"/>
      <w:r w:rsidRPr="00750AAE">
        <w:rPr>
          <w:rFonts w:ascii="Bookman Old Style" w:hAnsi="Bookman Old Style"/>
          <w:i/>
          <w:sz w:val="24"/>
          <w:szCs w:val="24"/>
          <w:shd w:val="clear" w:color="auto" w:fill="FFFFFF"/>
          <w:lang w:val="es-ES_tradnl"/>
        </w:rPr>
        <w:t xml:space="preserve"> 2</w:t>
      </w:r>
      <w:r>
        <w:rPr>
          <w:rFonts w:ascii="Bookman Old Style" w:hAnsi="Bookman Old Style"/>
          <w:sz w:val="28"/>
          <w:szCs w:val="28"/>
          <w:shd w:val="clear" w:color="auto" w:fill="FFFFFF"/>
          <w:lang w:val="es-ES_tradnl"/>
        </w:rPr>
        <w:t>» ubicado en el Carmen de Bolívar y de propiedad de su difunto padre Eliseo Sierra Amorocho, obligándose a adelantar los trámites de la sucesión a fin que se le adjudique legalmente el inmueble para efectuar la tradición; que adelantó el proceso como única hija del causante lo que quedó debidamente protocolizado mediante escritura pública de septiembre de ese mismo año.</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Asegura la apoderada de los accionantes que el 3 de octubre de dicha anualidad, el Comité Departamental de Atención Integral a la Población Desplazada ordenó a las autoridades públicas abstenerse de inscribir enajenaciones por motivo de orden público. </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Que luego Estela María pidió permiso al CDAIPD para continuar con la negociación antedicha, pero fue negado, porque agotó el requisito de procedibilidad ante el INCODER con fundamento en la ley 160/1994. Posteriormente ofreció el lote al </w:t>
      </w:r>
      <w:proofErr w:type="spellStart"/>
      <w:r>
        <w:rPr>
          <w:rFonts w:ascii="Bookman Old Style" w:hAnsi="Bookman Old Style"/>
          <w:sz w:val="28"/>
          <w:szCs w:val="28"/>
          <w:shd w:val="clear" w:color="auto" w:fill="FFFFFF"/>
          <w:lang w:val="es-ES_tradnl"/>
        </w:rPr>
        <w:t>Incoder</w:t>
      </w:r>
      <w:proofErr w:type="spellEnd"/>
      <w:r>
        <w:rPr>
          <w:rFonts w:ascii="Bookman Old Style" w:hAnsi="Bookman Old Style"/>
          <w:sz w:val="28"/>
          <w:szCs w:val="28"/>
          <w:shd w:val="clear" w:color="auto" w:fill="FFFFFF"/>
          <w:lang w:val="es-ES_tradnl"/>
        </w:rPr>
        <w:t xml:space="preserve">, pero tal entidad le respondió que no contaba con presupuesto y que estaba en libertad para </w:t>
      </w:r>
      <w:r>
        <w:rPr>
          <w:rFonts w:ascii="Bookman Old Style" w:hAnsi="Bookman Old Style"/>
          <w:sz w:val="28"/>
          <w:szCs w:val="28"/>
          <w:shd w:val="clear" w:color="auto" w:fill="FFFFFF"/>
          <w:lang w:val="es-ES_tradnl"/>
        </w:rPr>
        <w:lastRenderedPageBreak/>
        <w:t>disponer de éste, sin embargo, la citada señora no siguió con el trámite de autorización de enajenación, por lo que el acuerdo continuó inconcluso.</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Señala que Manuel José Medina </w:t>
      </w:r>
      <w:proofErr w:type="spellStart"/>
      <w:r>
        <w:rPr>
          <w:rFonts w:ascii="Bookman Old Style" w:hAnsi="Bookman Old Style"/>
          <w:sz w:val="28"/>
          <w:szCs w:val="28"/>
          <w:shd w:val="clear" w:color="auto" w:fill="FFFFFF"/>
          <w:lang w:val="es-ES_tradnl"/>
        </w:rPr>
        <w:t>Muñetón</w:t>
      </w:r>
      <w:proofErr w:type="spellEnd"/>
      <w:r>
        <w:rPr>
          <w:rFonts w:ascii="Bookman Old Style" w:hAnsi="Bookman Old Style"/>
          <w:sz w:val="28"/>
          <w:szCs w:val="28"/>
          <w:shd w:val="clear" w:color="auto" w:fill="FFFFFF"/>
          <w:lang w:val="es-ES_tradnl"/>
        </w:rPr>
        <w:t xml:space="preserve"> y otras personas dieron origen a la compañía Agropecuaria Carmen de Bolívar S.A. la que tomó posesión de varios de los terrenos adquiridos por los socios, entre ellos el enunciado.</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Que el 22 de mayo de 2012 le pidieron a la promitente vendedora que informara sobre las resultas del convenio, sin obtener respuesta; contrario a ello, adelantó trámite ante la UAEGRT con base en la Ley 1448/2011 para la inclusión de la finca el «</w:t>
      </w:r>
      <w:proofErr w:type="spellStart"/>
      <w:r w:rsidRPr="00054C86">
        <w:rPr>
          <w:rFonts w:ascii="Bookman Old Style" w:hAnsi="Bookman Old Style"/>
          <w:i/>
          <w:sz w:val="28"/>
          <w:szCs w:val="28"/>
          <w:shd w:val="clear" w:color="auto" w:fill="FFFFFF"/>
          <w:lang w:val="es-ES_tradnl"/>
        </w:rPr>
        <w:t>Cocuelo</w:t>
      </w:r>
      <w:proofErr w:type="spellEnd"/>
      <w:r w:rsidRPr="00054C86">
        <w:rPr>
          <w:rFonts w:ascii="Bookman Old Style" w:hAnsi="Bookman Old Style"/>
          <w:i/>
          <w:sz w:val="28"/>
          <w:szCs w:val="28"/>
          <w:shd w:val="clear" w:color="auto" w:fill="FFFFFF"/>
          <w:lang w:val="es-ES_tradnl"/>
        </w:rPr>
        <w:t xml:space="preserve"> 2»</w:t>
      </w:r>
      <w:r>
        <w:rPr>
          <w:rFonts w:ascii="Bookman Old Style" w:hAnsi="Bookman Old Style"/>
          <w:i/>
          <w:sz w:val="28"/>
          <w:szCs w:val="28"/>
          <w:shd w:val="clear" w:color="auto" w:fill="FFFFFF"/>
          <w:lang w:val="es-ES_tradnl"/>
        </w:rPr>
        <w:t xml:space="preserve"> </w:t>
      </w:r>
      <w:r w:rsidRPr="00054C86">
        <w:rPr>
          <w:rFonts w:ascii="Bookman Old Style" w:hAnsi="Bookman Old Style"/>
          <w:sz w:val="28"/>
          <w:szCs w:val="28"/>
          <w:shd w:val="clear" w:color="auto" w:fill="FFFFFF"/>
          <w:lang w:val="es-ES_tradnl"/>
        </w:rPr>
        <w:t xml:space="preserve">en el </w:t>
      </w:r>
      <w:r>
        <w:rPr>
          <w:rFonts w:ascii="Bookman Old Style" w:hAnsi="Bookman Old Style"/>
          <w:sz w:val="28"/>
          <w:szCs w:val="28"/>
          <w:shd w:val="clear" w:color="auto" w:fill="FFFFFF"/>
          <w:lang w:val="es-ES_tradnl"/>
        </w:rPr>
        <w:t xml:space="preserve">Registro de Tierras Despojadas y Abandonadas </w:t>
      </w:r>
      <w:proofErr w:type="spellStart"/>
      <w:r>
        <w:rPr>
          <w:rFonts w:ascii="Bookman Old Style" w:hAnsi="Bookman Old Style"/>
          <w:sz w:val="28"/>
          <w:szCs w:val="28"/>
          <w:shd w:val="clear" w:color="auto" w:fill="FFFFFF"/>
          <w:lang w:val="es-ES_tradnl"/>
        </w:rPr>
        <w:t>Forzamente</w:t>
      </w:r>
      <w:proofErr w:type="spellEnd"/>
      <w:r>
        <w:rPr>
          <w:rFonts w:ascii="Bookman Old Style" w:hAnsi="Bookman Old Style"/>
          <w:sz w:val="28"/>
          <w:szCs w:val="28"/>
          <w:shd w:val="clear" w:color="auto" w:fill="FFFFFF"/>
          <w:lang w:val="es-ES_tradnl"/>
        </w:rPr>
        <w:t>, a raíz de la violencia afirmando que el precio no fue pagado en su totalidad, lo que no es cierto.</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Sostiene que mediante Resolución N°001 de diciembre 7 de 2012, la Unidad Administrativa Especial de Gestión de Restitución de Tierras Despojadas-Dirección Territorial de Bolívar declaró que el fundo se encontraba en esa situación pero omitió notificarla a los involucrados, lo que también ocurrió respecto del auto que decretó pruebas.</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Que Estela María Sierra </w:t>
      </w:r>
      <w:proofErr w:type="spellStart"/>
      <w:r>
        <w:rPr>
          <w:rFonts w:ascii="Bookman Old Style" w:hAnsi="Bookman Old Style"/>
          <w:sz w:val="28"/>
          <w:szCs w:val="28"/>
          <w:shd w:val="clear" w:color="auto" w:fill="FFFFFF"/>
          <w:lang w:val="es-ES_tradnl"/>
        </w:rPr>
        <w:t>Sierra</w:t>
      </w:r>
      <w:proofErr w:type="spellEnd"/>
      <w:r>
        <w:rPr>
          <w:rFonts w:ascii="Bookman Old Style" w:hAnsi="Bookman Old Style"/>
          <w:sz w:val="28"/>
          <w:szCs w:val="28"/>
          <w:shd w:val="clear" w:color="auto" w:fill="FFFFFF"/>
          <w:lang w:val="es-ES_tradnl"/>
        </w:rPr>
        <w:t xml:space="preserve"> instauró demanda de </w:t>
      </w:r>
      <w:r w:rsidRPr="00054C86">
        <w:rPr>
          <w:rFonts w:ascii="Bookman Old Style" w:hAnsi="Bookman Old Style"/>
          <w:i/>
          <w:sz w:val="24"/>
          <w:szCs w:val="24"/>
          <w:shd w:val="clear" w:color="auto" w:fill="FFFFFF"/>
          <w:lang w:val="es-ES_tradnl"/>
        </w:rPr>
        <w:t>«restitución y formalización de tierras»</w:t>
      </w:r>
      <w:r>
        <w:rPr>
          <w:rFonts w:ascii="Bookman Old Style" w:hAnsi="Bookman Old Style"/>
          <w:i/>
          <w:sz w:val="24"/>
          <w:szCs w:val="24"/>
          <w:shd w:val="clear" w:color="auto" w:fill="FFFFFF"/>
          <w:lang w:val="es-ES_tradnl"/>
        </w:rPr>
        <w:t xml:space="preserve"> </w:t>
      </w:r>
      <w:r w:rsidRPr="00054C86">
        <w:rPr>
          <w:rFonts w:ascii="Bookman Old Style" w:hAnsi="Bookman Old Style"/>
          <w:sz w:val="28"/>
          <w:szCs w:val="28"/>
          <w:shd w:val="clear" w:color="auto" w:fill="FFFFFF"/>
          <w:lang w:val="es-ES_tradnl"/>
        </w:rPr>
        <w:t>ante el Juzgado</w:t>
      </w:r>
      <w:r>
        <w:rPr>
          <w:rFonts w:ascii="Bookman Old Style" w:hAnsi="Bookman Old Style"/>
          <w:sz w:val="28"/>
          <w:szCs w:val="28"/>
          <w:shd w:val="clear" w:color="auto" w:fill="FFFFFF"/>
          <w:lang w:val="es-ES_tradnl"/>
        </w:rPr>
        <w:t xml:space="preserve"> Segundo Civil Especializado en Restitución de Tierras de Cartagena. Una vez notificados, pidieron el rechazo del líbelo por «</w:t>
      </w:r>
      <w:r w:rsidRPr="00596E10">
        <w:rPr>
          <w:rFonts w:ascii="Bookman Old Style" w:hAnsi="Bookman Old Style"/>
          <w:i/>
          <w:sz w:val="24"/>
          <w:szCs w:val="24"/>
          <w:shd w:val="clear" w:color="auto" w:fill="FFFFFF"/>
          <w:lang w:val="es-ES_tradnl"/>
        </w:rPr>
        <w:t>violación al debido proceso»</w:t>
      </w:r>
      <w:r>
        <w:rPr>
          <w:rFonts w:ascii="Bookman Old Style" w:hAnsi="Bookman Old Style"/>
          <w:i/>
          <w:sz w:val="24"/>
          <w:szCs w:val="24"/>
          <w:shd w:val="clear" w:color="auto" w:fill="FFFFFF"/>
          <w:lang w:val="es-ES_tradnl"/>
        </w:rPr>
        <w:t xml:space="preserve">, </w:t>
      </w:r>
      <w:r w:rsidRPr="00596E10">
        <w:rPr>
          <w:rFonts w:ascii="Bookman Old Style" w:hAnsi="Bookman Old Style"/>
          <w:sz w:val="28"/>
          <w:szCs w:val="28"/>
          <w:shd w:val="clear" w:color="auto" w:fill="FFFFFF"/>
          <w:lang w:val="es-ES_tradnl"/>
        </w:rPr>
        <w:t>a lo que no s</w:t>
      </w:r>
      <w:r>
        <w:rPr>
          <w:rFonts w:ascii="Bookman Old Style" w:hAnsi="Bookman Old Style"/>
          <w:sz w:val="28"/>
          <w:szCs w:val="28"/>
          <w:shd w:val="clear" w:color="auto" w:fill="FFFFFF"/>
          <w:lang w:val="es-ES_tradnl"/>
        </w:rPr>
        <w:t xml:space="preserve">e accedió. Luego, se envió el </w:t>
      </w:r>
      <w:r>
        <w:rPr>
          <w:rFonts w:ascii="Bookman Old Style" w:hAnsi="Bookman Old Style"/>
          <w:sz w:val="28"/>
          <w:szCs w:val="28"/>
          <w:shd w:val="clear" w:color="auto" w:fill="FFFFFF"/>
          <w:lang w:val="es-ES_tradnl"/>
        </w:rPr>
        <w:lastRenderedPageBreak/>
        <w:t>expediente al Tribunal acusado, quien dictó sentencia el 3 de octubre de 2013, sin darles la oportunidad de presentar alegatos de conclusión.</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Aduce que el fallo en mención configura una vía hecho porque no se tuvo en cuenta que la época en que se celebró la promesa de compraventa era de tranquilidad y no había presencia de grupos al margen de la ley; el contrato aducido como prueba, si bien no se perfeccionó, fue por culpa de la propia vendedora, además de cumplir con los requisitos legales; el precio pactado fue de un millón de pesos  por hectárea, es decir, por encima del valor comercial, lo que descarta lesión enorme; obraron sin la intención de causar un perjuicio; aunado a lo cual no era aplicable el artículo 77 de la Ley 1448 de 2011, que contiene la presunción de despojo, porque en el año 2008 no había contexto de violencia, según certificaron las Fuerzas Militares.</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Refiere que con la orden devolver el lote a la demandante, se les atribuye la calidad de </w:t>
      </w:r>
      <w:r w:rsidRPr="00AA6D1C">
        <w:rPr>
          <w:rFonts w:ascii="Bookman Old Style" w:hAnsi="Bookman Old Style"/>
          <w:i/>
          <w:sz w:val="28"/>
          <w:szCs w:val="28"/>
          <w:shd w:val="clear" w:color="auto" w:fill="FFFFFF"/>
          <w:lang w:val="es-ES_tradnl"/>
        </w:rPr>
        <w:t>«despojadores»</w:t>
      </w:r>
      <w:r>
        <w:rPr>
          <w:rFonts w:ascii="Bookman Old Style" w:hAnsi="Bookman Old Style"/>
          <w:sz w:val="28"/>
          <w:szCs w:val="28"/>
          <w:shd w:val="clear" w:color="auto" w:fill="FFFFFF"/>
          <w:lang w:val="es-ES_tradnl"/>
        </w:rPr>
        <w:t xml:space="preserve">  afectando su buen nombre, pues Medina </w:t>
      </w:r>
      <w:proofErr w:type="spellStart"/>
      <w:r>
        <w:rPr>
          <w:rFonts w:ascii="Bookman Old Style" w:hAnsi="Bookman Old Style"/>
          <w:sz w:val="28"/>
          <w:szCs w:val="28"/>
          <w:shd w:val="clear" w:color="auto" w:fill="FFFFFF"/>
          <w:lang w:val="es-ES_tradnl"/>
        </w:rPr>
        <w:t>Muñetón</w:t>
      </w:r>
      <w:proofErr w:type="spellEnd"/>
      <w:r>
        <w:rPr>
          <w:rFonts w:ascii="Bookman Old Style" w:hAnsi="Bookman Old Style"/>
          <w:sz w:val="28"/>
          <w:szCs w:val="28"/>
          <w:shd w:val="clear" w:color="auto" w:fill="FFFFFF"/>
          <w:lang w:val="es-ES_tradnl"/>
        </w:rPr>
        <w:t>, goza de prestigio en el campo de la ganadería y fue víctima de desplazamiento forzado; Guillermo Gaviria Echeverry, empresario quien es socio de Colanta y sufrió los embates de la violencia que culminaron con la muerte de su hijo en una marcha por la paz y Daniel Fernando Cuartas Tamayo es abogado y productor de Colanta.</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Por tanto, solicita que se protejan los derechos fundamentales a la defensa, a la dignidad humana, a la honra, a la propiedad privada, al trabajo, así como los </w:t>
      </w:r>
      <w:r>
        <w:rPr>
          <w:rFonts w:ascii="Bookman Old Style" w:hAnsi="Bookman Old Style"/>
          <w:sz w:val="28"/>
          <w:szCs w:val="28"/>
          <w:shd w:val="clear" w:color="auto" w:fill="FFFFFF"/>
          <w:lang w:val="es-ES_tradnl"/>
        </w:rPr>
        <w:lastRenderedPageBreak/>
        <w:t>principios de buena fe, confianza legítima, y seguridad jurídica. Que en consecuencia, se deje sin efecto el fallo de 3 de octubre de 2013, proferido por la Sala Civil Especializada en Restitución de Tierras del Tribunal Superior del Distrito Judicial de Cartagena. De igual forma pide que se revoque la Resolución RDR N° 001 de fecha 7 de diciembre de 2012, en la cual se incluyó el predio identificado con matrícula inmobiliaria N°062-13040 en el Registro de Tierras Despojadas y Abandonadas, Forzosamente emitida por la Unidad Administrativa Especial de Gestión de Restitución de Tierras del Carmen de Bolívar. Por la presunta vulneración al debido proceso en el trámite de la actuación administrativa descrito en el capítulo IV, artículo 13 y s.s. del  Decreto 4829 del 2011.</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Pr="000C0579" w:rsidRDefault="00C1198E" w:rsidP="00C1198E">
      <w:pPr>
        <w:numPr>
          <w:ilvl w:val="0"/>
          <w:numId w:val="1"/>
        </w:numPr>
        <w:spacing w:line="360" w:lineRule="auto"/>
        <w:jc w:val="center"/>
        <w:rPr>
          <w:rFonts w:ascii="Bookman Old Style" w:hAnsi="Bookman Old Style"/>
          <w:b/>
          <w:sz w:val="28"/>
          <w:szCs w:val="28"/>
        </w:rPr>
      </w:pPr>
      <w:r w:rsidRPr="000C0579">
        <w:rPr>
          <w:rFonts w:ascii="Bookman Old Style" w:hAnsi="Bookman Old Style"/>
          <w:b/>
          <w:sz w:val="28"/>
          <w:szCs w:val="28"/>
        </w:rPr>
        <w:t>TRÁMITE Y DECISIÓN DE INSTANCIA</w:t>
      </w:r>
    </w:p>
    <w:p w:rsidR="00C1198E" w:rsidRDefault="00C1198E" w:rsidP="00C1198E">
      <w:pPr>
        <w:spacing w:line="360" w:lineRule="auto"/>
        <w:ind w:left="1428"/>
        <w:rPr>
          <w:rFonts w:ascii="Bookman Old Style" w:hAnsi="Bookman Old Style"/>
          <w:sz w:val="28"/>
          <w:szCs w:val="28"/>
        </w:rPr>
      </w:pPr>
    </w:p>
    <w:p w:rsidR="00C1198E" w:rsidRDefault="00C1198E" w:rsidP="00C1198E">
      <w:pPr>
        <w:spacing w:line="360" w:lineRule="auto"/>
        <w:ind w:left="1428"/>
        <w:rPr>
          <w:rFonts w:ascii="Bookman Old Style" w:hAnsi="Bookman Old Style"/>
          <w:sz w:val="28"/>
          <w:szCs w:val="28"/>
        </w:rPr>
      </w:pPr>
    </w:p>
    <w:p w:rsidR="00C1198E" w:rsidRDefault="00C1198E" w:rsidP="00C1198E">
      <w:pPr>
        <w:spacing w:line="360" w:lineRule="auto"/>
        <w:ind w:right="4" w:firstLine="720"/>
        <w:jc w:val="both"/>
        <w:rPr>
          <w:rFonts w:ascii="Bookman Old Style" w:hAnsi="Bookman Old Style" w:cs="Arial"/>
          <w:sz w:val="28"/>
          <w:szCs w:val="28"/>
        </w:rPr>
      </w:pPr>
      <w:r>
        <w:rPr>
          <w:rFonts w:ascii="Bookman Old Style" w:hAnsi="Bookman Old Style" w:cs="Arial"/>
          <w:sz w:val="28"/>
          <w:szCs w:val="28"/>
        </w:rPr>
        <w:t>Mediante auto proferido el 31</w:t>
      </w:r>
      <w:r w:rsidRPr="000C0579">
        <w:rPr>
          <w:rFonts w:ascii="Bookman Old Style" w:hAnsi="Bookman Old Style" w:cs="Arial"/>
          <w:sz w:val="28"/>
          <w:szCs w:val="28"/>
        </w:rPr>
        <w:t xml:space="preserve"> de </w:t>
      </w:r>
      <w:r>
        <w:rPr>
          <w:rFonts w:ascii="Bookman Old Style" w:hAnsi="Bookman Old Style" w:cs="Arial"/>
          <w:sz w:val="28"/>
          <w:szCs w:val="28"/>
        </w:rPr>
        <w:t>enero de 2014</w:t>
      </w:r>
      <w:r w:rsidRPr="000C0579">
        <w:rPr>
          <w:rFonts w:ascii="Bookman Old Style" w:hAnsi="Bookman Old Style" w:cs="Arial"/>
          <w:sz w:val="28"/>
          <w:szCs w:val="28"/>
        </w:rPr>
        <w:t xml:space="preserve">, </w:t>
      </w:r>
      <w:smartTag w:uri="urn:schemas-microsoft-com:office:smarttags" w:element="PersonName">
        <w:smartTagPr>
          <w:attr w:name="ProductID" w:val="la Sala"/>
        </w:smartTagPr>
        <w:r w:rsidRPr="000C0579">
          <w:rPr>
            <w:rFonts w:ascii="Bookman Old Style" w:hAnsi="Bookman Old Style" w:cs="Arial"/>
            <w:sz w:val="28"/>
            <w:szCs w:val="28"/>
          </w:rPr>
          <w:t xml:space="preserve">la </w:t>
        </w:r>
        <w:r w:rsidRPr="000C0579">
          <w:rPr>
            <w:rFonts w:ascii="Bookman Old Style" w:hAnsi="Bookman Old Style"/>
            <w:color w:val="000000"/>
            <w:sz w:val="28"/>
            <w:szCs w:val="28"/>
          </w:rPr>
          <w:t>Sala</w:t>
        </w:r>
      </w:smartTag>
      <w:r w:rsidRPr="000C0579">
        <w:rPr>
          <w:rFonts w:ascii="Bookman Old Style" w:hAnsi="Bookman Old Style"/>
          <w:color w:val="000000"/>
          <w:sz w:val="28"/>
          <w:szCs w:val="28"/>
        </w:rPr>
        <w:t xml:space="preserve"> </w:t>
      </w:r>
      <w:r>
        <w:rPr>
          <w:rFonts w:ascii="Bookman Old Style" w:hAnsi="Bookman Old Style"/>
          <w:color w:val="000000"/>
          <w:sz w:val="28"/>
          <w:szCs w:val="28"/>
        </w:rPr>
        <w:t xml:space="preserve">de Casación Civil de la Corte Suprema de Justicia </w:t>
      </w:r>
      <w:r w:rsidRPr="000C0579">
        <w:rPr>
          <w:rFonts w:ascii="Bookman Old Style" w:hAnsi="Bookman Old Style" w:cs="Arial"/>
          <w:sz w:val="28"/>
          <w:szCs w:val="28"/>
        </w:rPr>
        <w:t>admitió la acción tutela, notificó a la autoridad judicial accionada</w:t>
      </w:r>
      <w:r>
        <w:rPr>
          <w:rFonts w:ascii="Bookman Old Style" w:hAnsi="Bookman Old Style" w:cs="Arial"/>
          <w:sz w:val="28"/>
          <w:szCs w:val="28"/>
        </w:rPr>
        <w:t xml:space="preserve">, </w:t>
      </w:r>
      <w:r w:rsidRPr="000C0579">
        <w:rPr>
          <w:rFonts w:ascii="Bookman Old Style" w:hAnsi="Bookman Old Style" w:cs="Arial"/>
          <w:sz w:val="28"/>
          <w:szCs w:val="28"/>
        </w:rPr>
        <w:t xml:space="preserve">y vinculó </w:t>
      </w:r>
      <w:r>
        <w:rPr>
          <w:rFonts w:ascii="Bookman Old Style" w:hAnsi="Bookman Old Style" w:cs="Arial"/>
          <w:sz w:val="28"/>
          <w:szCs w:val="28"/>
        </w:rPr>
        <w:t>a las partes e intervinientes en el proceso de restitución de tierras objeto de la queja constitucional, con el fin de que ejercieran el derecho de defensa y contradicción.</w:t>
      </w:r>
    </w:p>
    <w:p w:rsidR="00C1198E" w:rsidRPr="001548D9" w:rsidRDefault="00C1198E" w:rsidP="00C1198E">
      <w:pPr>
        <w:spacing w:line="360" w:lineRule="auto"/>
        <w:ind w:right="4" w:firstLine="720"/>
        <w:jc w:val="both"/>
        <w:rPr>
          <w:rFonts w:ascii="Bookman Old Style" w:hAnsi="Bookman Old Style" w:cs="Arial"/>
          <w:sz w:val="28"/>
          <w:szCs w:val="28"/>
        </w:rPr>
      </w:pP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r w:rsidRPr="00237E4E">
        <w:rPr>
          <w:rFonts w:ascii="Bookman Old Style" w:hAnsi="Bookman Old Style"/>
          <w:sz w:val="28"/>
          <w:szCs w:val="28"/>
          <w:shd w:val="clear" w:color="auto" w:fill="FFFFFF"/>
          <w:lang w:val="es-ES_tradnl"/>
        </w:rPr>
        <w:t xml:space="preserve">Dentro del término, </w:t>
      </w:r>
      <w:r>
        <w:rPr>
          <w:rFonts w:ascii="Bookman Old Style" w:hAnsi="Bookman Old Style"/>
          <w:sz w:val="28"/>
          <w:szCs w:val="28"/>
          <w:shd w:val="clear" w:color="auto" w:fill="FFFFFF"/>
          <w:lang w:val="es-ES_tradnl"/>
        </w:rPr>
        <w:t xml:space="preserve">la Sala Civil Especializada en Restitución de Tierras de Cartagena señaló que la Resolución 001 de 2012 constituye un requisito de procedibilidad para acudir a la jurisdicción y está revestida de presunción de </w:t>
      </w:r>
      <w:r>
        <w:rPr>
          <w:rFonts w:ascii="Bookman Old Style" w:hAnsi="Bookman Old Style"/>
          <w:sz w:val="28"/>
          <w:szCs w:val="28"/>
          <w:shd w:val="clear" w:color="auto" w:fill="FFFFFF"/>
          <w:lang w:val="es-ES_tradnl"/>
        </w:rPr>
        <w:lastRenderedPageBreak/>
        <w:t>legalidad, y su falta de notificación durante esa etapa, no tiene trascendencia alguna, porque los opositores, además de que intervinieron en ésta, cuentan con iguales o mejores posibilidades de controvertir tal acto en el juicio.</w:t>
      </w: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Que la Ley 1448 de 2011 no consagra la obligación de dar traslado para alegatos, razón por la cual no se otorgó.</w:t>
      </w: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Que el contexto de violencia se acreditó con la Resolución 001 de 3 de octubre de 2008 de la Gobernación de Bolívar y la </w:t>
      </w:r>
      <w:r w:rsidRPr="00A21867">
        <w:rPr>
          <w:rFonts w:ascii="Bookman Old Style" w:hAnsi="Bookman Old Style"/>
          <w:i/>
          <w:sz w:val="28"/>
          <w:szCs w:val="28"/>
          <w:shd w:val="clear" w:color="auto" w:fill="FFFFFF"/>
          <w:lang w:val="es-ES_tradnl"/>
        </w:rPr>
        <w:t>«presunción debatida»</w:t>
      </w:r>
      <w:r>
        <w:rPr>
          <w:rFonts w:ascii="Bookman Old Style" w:hAnsi="Bookman Old Style"/>
          <w:sz w:val="28"/>
          <w:szCs w:val="28"/>
          <w:shd w:val="clear" w:color="auto" w:fill="FFFFFF"/>
          <w:lang w:val="es-ES_tradnl"/>
        </w:rPr>
        <w:t xml:space="preserve"> se </w:t>
      </w:r>
      <w:proofErr w:type="spellStart"/>
      <w:r>
        <w:rPr>
          <w:rFonts w:ascii="Bookman Old Style" w:hAnsi="Bookman Old Style"/>
          <w:sz w:val="28"/>
          <w:szCs w:val="28"/>
          <w:shd w:val="clear" w:color="auto" w:fill="FFFFFF"/>
          <w:lang w:val="es-ES_tradnl"/>
        </w:rPr>
        <w:t>apoyo</w:t>
      </w:r>
      <w:proofErr w:type="spellEnd"/>
      <w:r>
        <w:rPr>
          <w:rFonts w:ascii="Bookman Old Style" w:hAnsi="Bookman Old Style"/>
          <w:sz w:val="28"/>
          <w:szCs w:val="28"/>
          <w:shd w:val="clear" w:color="auto" w:fill="FFFFFF"/>
          <w:lang w:val="es-ES_tradnl"/>
        </w:rPr>
        <w:t xml:space="preserve"> en la acreditación de los hechos que la configuran.</w:t>
      </w: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9"/>
        <w:jc w:val="both"/>
        <w:rPr>
          <w:rFonts w:ascii="Bookman Old Style" w:hAnsi="Bookman Old Style"/>
          <w:i/>
          <w:sz w:val="24"/>
          <w:szCs w:val="24"/>
          <w:shd w:val="clear" w:color="auto" w:fill="FFFFFF"/>
          <w:lang w:val="es-ES_tradnl"/>
        </w:rPr>
      </w:pPr>
      <w:r>
        <w:rPr>
          <w:rFonts w:ascii="Bookman Old Style" w:hAnsi="Bookman Old Style"/>
          <w:sz w:val="28"/>
          <w:szCs w:val="28"/>
          <w:shd w:val="clear" w:color="auto" w:fill="FFFFFF"/>
          <w:lang w:val="es-ES_tradnl"/>
        </w:rPr>
        <w:t>Que los accionantes no probaron su buena fe para que se hicieran merecedores a la compensación, «</w:t>
      </w:r>
      <w:r w:rsidRPr="00851551">
        <w:rPr>
          <w:rFonts w:ascii="Bookman Old Style" w:hAnsi="Bookman Old Style"/>
          <w:i/>
          <w:sz w:val="24"/>
          <w:szCs w:val="24"/>
          <w:shd w:val="clear" w:color="auto" w:fill="FFFFFF"/>
          <w:lang w:val="es-ES_tradnl"/>
        </w:rPr>
        <w:t>al poseer un inmueble cuyo contrato de venta no se pudo realizar por las medidas de protección que recaían sobre el mismo</w:t>
      </w:r>
      <w:r>
        <w:rPr>
          <w:rFonts w:ascii="Bookman Old Style" w:hAnsi="Bookman Old Style"/>
          <w:sz w:val="28"/>
          <w:szCs w:val="28"/>
          <w:shd w:val="clear" w:color="auto" w:fill="FFFFFF"/>
          <w:lang w:val="es-ES_tradnl"/>
        </w:rPr>
        <w:t>», además de que la promitente vendedora «</w:t>
      </w:r>
      <w:r w:rsidRPr="00851551">
        <w:rPr>
          <w:rFonts w:ascii="Bookman Old Style" w:hAnsi="Bookman Old Style"/>
          <w:i/>
          <w:sz w:val="24"/>
          <w:szCs w:val="24"/>
          <w:shd w:val="clear" w:color="auto" w:fill="FFFFFF"/>
          <w:lang w:val="es-ES_tradnl"/>
        </w:rPr>
        <w:t xml:space="preserve">a pesar de aparecer como adjudicataria única contaba con 14 hermanos para lo cual la restitución se concedió a favor del haber </w:t>
      </w:r>
      <w:proofErr w:type="spellStart"/>
      <w:r w:rsidRPr="00851551">
        <w:rPr>
          <w:rFonts w:ascii="Bookman Old Style" w:hAnsi="Bookman Old Style"/>
          <w:i/>
          <w:sz w:val="24"/>
          <w:szCs w:val="24"/>
          <w:shd w:val="clear" w:color="auto" w:fill="FFFFFF"/>
          <w:lang w:val="es-ES_tradnl"/>
        </w:rPr>
        <w:t>herencial</w:t>
      </w:r>
      <w:proofErr w:type="spellEnd"/>
      <w:r w:rsidRPr="00851551">
        <w:rPr>
          <w:rFonts w:ascii="Bookman Old Style" w:hAnsi="Bookman Old Style"/>
          <w:i/>
          <w:sz w:val="24"/>
          <w:szCs w:val="24"/>
          <w:shd w:val="clear" w:color="auto" w:fill="FFFFFF"/>
          <w:lang w:val="es-ES_tradnl"/>
        </w:rPr>
        <w:t xml:space="preserve"> del finado Eliseo Sierra, quien fue víctima de una mina anti persona»</w:t>
      </w:r>
    </w:p>
    <w:p w:rsidR="00C1198E" w:rsidRDefault="00C1198E" w:rsidP="00C1198E">
      <w:pPr>
        <w:spacing w:line="360" w:lineRule="auto"/>
        <w:ind w:firstLine="709"/>
        <w:jc w:val="both"/>
        <w:rPr>
          <w:rFonts w:ascii="Bookman Old Style" w:hAnsi="Bookman Old Style"/>
          <w:i/>
          <w:sz w:val="24"/>
          <w:szCs w:val="24"/>
          <w:shd w:val="clear" w:color="auto" w:fill="FFFFFF"/>
          <w:lang w:val="es-ES_tradnl"/>
        </w:rPr>
      </w:pP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r w:rsidRPr="00851551">
        <w:rPr>
          <w:rFonts w:ascii="Bookman Old Style" w:hAnsi="Bookman Old Style"/>
          <w:sz w:val="28"/>
          <w:szCs w:val="28"/>
          <w:shd w:val="clear" w:color="auto" w:fill="FFFFFF"/>
          <w:lang w:val="es-ES_tradnl"/>
        </w:rPr>
        <w:t xml:space="preserve">Que en ningún momento se designó al opositor como despojador </w:t>
      </w:r>
      <w:r>
        <w:rPr>
          <w:rFonts w:ascii="Bookman Old Style" w:hAnsi="Bookman Old Style"/>
          <w:sz w:val="28"/>
          <w:szCs w:val="28"/>
          <w:shd w:val="clear" w:color="auto" w:fill="FFFFFF"/>
          <w:lang w:val="es-ES_tradnl"/>
        </w:rPr>
        <w:t xml:space="preserve">ni </w:t>
      </w:r>
      <w:r w:rsidRPr="00851551">
        <w:rPr>
          <w:rFonts w:ascii="Bookman Old Style" w:hAnsi="Bookman Old Style"/>
          <w:sz w:val="28"/>
          <w:szCs w:val="28"/>
          <w:shd w:val="clear" w:color="auto" w:fill="FFFFFF"/>
          <w:lang w:val="es-ES_tradnl"/>
        </w:rPr>
        <w:t>se le relacionó con grupos ilegales</w:t>
      </w:r>
      <w:r>
        <w:rPr>
          <w:rFonts w:ascii="Bookman Old Style" w:hAnsi="Bookman Old Style"/>
          <w:sz w:val="28"/>
          <w:szCs w:val="28"/>
          <w:shd w:val="clear" w:color="auto" w:fill="FFFFFF"/>
          <w:lang w:val="es-ES_tradnl"/>
        </w:rPr>
        <w:t>,</w:t>
      </w:r>
      <w:r w:rsidRPr="00851551">
        <w:rPr>
          <w:rFonts w:ascii="Bookman Old Style" w:hAnsi="Bookman Old Style"/>
          <w:sz w:val="28"/>
          <w:szCs w:val="28"/>
          <w:shd w:val="clear" w:color="auto" w:fill="FFFFFF"/>
          <w:lang w:val="es-ES_tradnl"/>
        </w:rPr>
        <w:t xml:space="preserve"> solo se </w:t>
      </w:r>
      <w:proofErr w:type="spellStart"/>
      <w:r w:rsidRPr="00851551">
        <w:rPr>
          <w:rFonts w:ascii="Bookman Old Style" w:hAnsi="Bookman Old Style"/>
          <w:sz w:val="28"/>
          <w:szCs w:val="28"/>
          <w:shd w:val="clear" w:color="auto" w:fill="FFFFFF"/>
          <w:lang w:val="es-ES_tradnl"/>
        </w:rPr>
        <w:t>estudio</w:t>
      </w:r>
      <w:proofErr w:type="spellEnd"/>
      <w:r w:rsidRPr="00851551">
        <w:rPr>
          <w:rFonts w:ascii="Bookman Old Style" w:hAnsi="Bookman Old Style"/>
          <w:sz w:val="28"/>
          <w:szCs w:val="28"/>
          <w:shd w:val="clear" w:color="auto" w:fill="FFFFFF"/>
          <w:lang w:val="es-ES_tradnl"/>
        </w:rPr>
        <w:t xml:space="preserve"> si su actuar se ajustó en la negociación a la altas exigencias</w:t>
      </w:r>
      <w:r>
        <w:rPr>
          <w:rFonts w:ascii="Bookman Old Style" w:hAnsi="Bookman Old Style"/>
          <w:sz w:val="28"/>
          <w:szCs w:val="28"/>
          <w:shd w:val="clear" w:color="auto" w:fill="FFFFFF"/>
          <w:lang w:val="es-ES_tradnl"/>
        </w:rPr>
        <w:t xml:space="preserve"> de un buena fe exenta de culpa.</w:t>
      </w: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Que la decisión cuestionada se tomó con base en las pruebas recolectadas.</w:t>
      </w: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p>
    <w:p w:rsidR="00C1198E" w:rsidRPr="00851551" w:rsidRDefault="00C1198E" w:rsidP="00C1198E">
      <w:pPr>
        <w:spacing w:line="360" w:lineRule="auto"/>
        <w:ind w:firstLine="709"/>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lastRenderedPageBreak/>
        <w:t>Por  su parte, la Unidad Administrativa Especial de Gestión de Restitución de Tierras Despojadas del Carmen de Bolívar, manifestó que la acción es improcedente, porque los actores cuentan con el recurso de revisión para cuestionar el fallo del Tribunal; que el decreto de pruebas en el trámite administrativo se produjo a través de la resolución, acto que fue incluido en el estado correspondiente, según lo acredita con copias de la actuación; que el proveído por el que se dio traslado para alegar no es susceptible de ser atacado por vía de tutela; que la apoderada que aquí interviene presentó idéntica  acción ante el Juzgado Promiscuo del Circuito de Carmen de Bolívar.</w:t>
      </w:r>
    </w:p>
    <w:p w:rsidR="00C1198E" w:rsidRPr="001548D9"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Con fallo de tutela del 13</w:t>
      </w:r>
      <w:r w:rsidRPr="000C0579">
        <w:rPr>
          <w:rFonts w:ascii="Bookman Old Style" w:hAnsi="Bookman Old Style"/>
          <w:color w:val="000000"/>
          <w:sz w:val="28"/>
          <w:szCs w:val="28"/>
        </w:rPr>
        <w:t xml:space="preserve"> de </w:t>
      </w:r>
      <w:r>
        <w:rPr>
          <w:rFonts w:ascii="Bookman Old Style" w:hAnsi="Bookman Old Style"/>
          <w:color w:val="000000"/>
          <w:sz w:val="28"/>
          <w:szCs w:val="28"/>
        </w:rPr>
        <w:t>febrero</w:t>
      </w:r>
      <w:r w:rsidRPr="000C0579">
        <w:rPr>
          <w:rFonts w:ascii="Bookman Old Style" w:hAnsi="Bookman Old Style"/>
          <w:color w:val="000000"/>
          <w:sz w:val="28"/>
          <w:szCs w:val="28"/>
        </w:rPr>
        <w:t xml:space="preserve"> de 2013, se puso fin a la primera instancia, negando el amparo solicitad</w:t>
      </w:r>
      <w:r>
        <w:rPr>
          <w:rFonts w:ascii="Bookman Old Style" w:hAnsi="Bookman Old Style"/>
          <w:color w:val="000000"/>
          <w:sz w:val="28"/>
          <w:szCs w:val="28"/>
        </w:rPr>
        <w:t xml:space="preserve">o, tras advertir, que no  hay temeridad y que no se observa una vía de hecho por la expedición del acto administrativo, a través del cual la Unidad Administrativa Especial de Gestión de Restitución de Tierras- Territorial Bolívar, incluyó el fundo </w:t>
      </w:r>
      <w:r w:rsidRPr="00333AB6">
        <w:rPr>
          <w:rFonts w:ascii="Bookman Old Style" w:hAnsi="Bookman Old Style"/>
          <w:i/>
          <w:color w:val="000000"/>
          <w:sz w:val="24"/>
          <w:szCs w:val="24"/>
        </w:rPr>
        <w:t xml:space="preserve">«El </w:t>
      </w:r>
      <w:proofErr w:type="spellStart"/>
      <w:r w:rsidRPr="00333AB6">
        <w:rPr>
          <w:rFonts w:ascii="Bookman Old Style" w:hAnsi="Bookman Old Style"/>
          <w:i/>
          <w:color w:val="000000"/>
          <w:sz w:val="24"/>
          <w:szCs w:val="24"/>
        </w:rPr>
        <w:t>Cocuelo</w:t>
      </w:r>
      <w:proofErr w:type="spellEnd"/>
      <w:r w:rsidRPr="00333AB6">
        <w:rPr>
          <w:rFonts w:ascii="Bookman Old Style" w:hAnsi="Bookman Old Style"/>
          <w:i/>
          <w:color w:val="000000"/>
          <w:sz w:val="24"/>
          <w:szCs w:val="24"/>
        </w:rPr>
        <w:t xml:space="preserve"> 2»</w:t>
      </w:r>
      <w:r>
        <w:rPr>
          <w:rFonts w:ascii="Bookman Old Style" w:hAnsi="Bookman Old Style"/>
          <w:i/>
          <w:color w:val="000000"/>
          <w:sz w:val="24"/>
          <w:szCs w:val="24"/>
        </w:rPr>
        <w:t xml:space="preserve">  </w:t>
      </w:r>
      <w:r w:rsidRPr="00333AB6">
        <w:rPr>
          <w:rFonts w:ascii="Bookman Old Style" w:hAnsi="Bookman Old Style"/>
          <w:color w:val="000000"/>
          <w:sz w:val="28"/>
          <w:szCs w:val="28"/>
        </w:rPr>
        <w:t xml:space="preserve">en el registro de tierras despojadas, con ocasión de las </w:t>
      </w:r>
      <w:r>
        <w:rPr>
          <w:rFonts w:ascii="Bookman Old Style" w:hAnsi="Bookman Old Style"/>
          <w:color w:val="000000"/>
          <w:sz w:val="28"/>
          <w:szCs w:val="28"/>
        </w:rPr>
        <w:t>acusaciones.</w:t>
      </w:r>
    </w:p>
    <w:p w:rsidR="00C1198E"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 xml:space="preserve">Que, en efecto, la señalada falta de enteramiento al actor del decreto de pruebas durante ese trámite es una afirmación que no consulta la realidad procesal, ya que como lo demostró la UAEGRT del Carmen de Bolívar, la resolución que dio apertura a esa etapa se notificó a las partes e intervinientes por anotación en el estado N° 002 del 14 de noviembre de 2012, lo que hace nugatorio cualquier ataque en tal sentido. De otro lado, la ausencia de notificación a </w:t>
      </w:r>
      <w:r>
        <w:rPr>
          <w:rFonts w:ascii="Bookman Old Style" w:hAnsi="Bookman Old Style"/>
          <w:color w:val="000000"/>
          <w:sz w:val="28"/>
          <w:szCs w:val="28"/>
        </w:rPr>
        <w:lastRenderedPageBreak/>
        <w:t xml:space="preserve">Manuel José Medina </w:t>
      </w:r>
      <w:proofErr w:type="spellStart"/>
      <w:r>
        <w:rPr>
          <w:rFonts w:ascii="Bookman Old Style" w:hAnsi="Bookman Old Style"/>
          <w:color w:val="000000"/>
          <w:sz w:val="28"/>
          <w:szCs w:val="28"/>
        </w:rPr>
        <w:t>Muñetón</w:t>
      </w:r>
      <w:proofErr w:type="spellEnd"/>
      <w:r>
        <w:rPr>
          <w:rFonts w:ascii="Bookman Old Style" w:hAnsi="Bookman Old Style"/>
          <w:color w:val="000000"/>
          <w:sz w:val="28"/>
          <w:szCs w:val="28"/>
        </w:rPr>
        <w:t xml:space="preserve"> del acto administrativo, por cuya virtud se tuvo como despojado el bien ya mencionado, se aviene a la norma que regula el procedimiento en dicho escenario, esto es, el artículo 25 del Decreto 4829 de 2011; de manera que si dicha actuación se surtió contando con la comparecencia del quejoso, quien por demás se opuso al registro del lote y pidió pruebas, la autoridad administrativa no estaba obligada a enterarlo de la resolución por medio de la cual  se dispuso la afectación del inmueble, pues, como quedó visto, esta sólo se predica en la relación con la persona que solicita la protección, en este evento Estela María Sierra </w:t>
      </w:r>
      <w:proofErr w:type="spellStart"/>
      <w:r>
        <w:rPr>
          <w:rFonts w:ascii="Bookman Old Style" w:hAnsi="Bookman Old Style"/>
          <w:color w:val="000000"/>
          <w:sz w:val="28"/>
          <w:szCs w:val="28"/>
        </w:rPr>
        <w:t>Sierra</w:t>
      </w:r>
      <w:proofErr w:type="spellEnd"/>
      <w:r>
        <w:rPr>
          <w:rFonts w:ascii="Bookman Old Style" w:hAnsi="Bookman Old Style"/>
          <w:color w:val="000000"/>
          <w:sz w:val="28"/>
          <w:szCs w:val="28"/>
        </w:rPr>
        <w:t>.</w:t>
      </w:r>
    </w:p>
    <w:p w:rsidR="00C1198E" w:rsidRPr="00333AB6"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Además, se consideró que si en criterio de los promotores se incurrió en una irregularidad por no surtirse el traslado de alegatos, debe aducirlo a través del recurso extraordinario de revisión, único medio de impugnación que procede, según el artículo 92 de la Ley 1448 de 2008 que prevé, «</w:t>
      </w:r>
      <w:r w:rsidRPr="00E5435A">
        <w:rPr>
          <w:rFonts w:ascii="Bookman Old Style" w:hAnsi="Bookman Old Style"/>
          <w:i/>
          <w:color w:val="000000"/>
          <w:sz w:val="22"/>
          <w:szCs w:val="22"/>
        </w:rPr>
        <w:t>el recurso de revisión ante la Sala de Casación Civil de la Corte Suprema de Justicia, en los términos de los artículos 379 y siguientes»</w:t>
      </w:r>
      <w:r>
        <w:rPr>
          <w:rFonts w:ascii="Bookman Old Style" w:hAnsi="Bookman Old Style"/>
          <w:i/>
          <w:color w:val="000000"/>
          <w:sz w:val="22"/>
          <w:szCs w:val="22"/>
        </w:rPr>
        <w:t xml:space="preserve"> </w:t>
      </w:r>
      <w:r w:rsidRPr="00E5435A">
        <w:rPr>
          <w:rFonts w:ascii="Bookman Old Style" w:hAnsi="Bookman Old Style"/>
          <w:color w:val="000000"/>
          <w:sz w:val="28"/>
          <w:szCs w:val="28"/>
        </w:rPr>
        <w:t xml:space="preserve">escenario </w:t>
      </w:r>
      <w:r>
        <w:rPr>
          <w:rFonts w:ascii="Bookman Old Style" w:hAnsi="Bookman Old Style"/>
          <w:color w:val="000000"/>
          <w:sz w:val="28"/>
          <w:szCs w:val="28"/>
        </w:rPr>
        <w:t>idóneo para replantear esa particular queja independientemente de su desenlace.</w:t>
      </w: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Adicionalmente, señaló que tampoco se aprecia que la sentencia dictada el 3 de octubre de 2013 habilite la intervención del juez de tutela, toda vez que allí se expusieron los motivos que condujeron a acoger las súplicas de la demanda, y de paso, a desatar la contradicción presentada.</w:t>
      </w:r>
    </w:p>
    <w:p w:rsidR="00C1198E" w:rsidRDefault="00C1198E" w:rsidP="00C1198E">
      <w:pPr>
        <w:spacing w:line="360" w:lineRule="auto"/>
        <w:ind w:firstLine="708"/>
        <w:jc w:val="both"/>
        <w:rPr>
          <w:rFonts w:ascii="Bookman Old Style" w:hAnsi="Bookman Old Style"/>
          <w:color w:val="000000"/>
          <w:sz w:val="28"/>
          <w:szCs w:val="28"/>
        </w:rPr>
      </w:pPr>
    </w:p>
    <w:p w:rsidR="00C1198E" w:rsidRPr="00E5435A" w:rsidRDefault="00C1198E" w:rsidP="00C1198E">
      <w:pPr>
        <w:spacing w:line="360" w:lineRule="auto"/>
        <w:ind w:firstLine="708"/>
        <w:jc w:val="both"/>
        <w:rPr>
          <w:rFonts w:ascii="Bookman Old Style" w:hAnsi="Bookman Old Style"/>
          <w:color w:val="000000"/>
          <w:sz w:val="28"/>
          <w:szCs w:val="28"/>
        </w:rPr>
      </w:pPr>
    </w:p>
    <w:p w:rsidR="00C1198E" w:rsidRPr="000C0579" w:rsidRDefault="00C1198E" w:rsidP="00C1198E">
      <w:pPr>
        <w:numPr>
          <w:ilvl w:val="0"/>
          <w:numId w:val="1"/>
        </w:numPr>
        <w:spacing w:line="360" w:lineRule="auto"/>
        <w:jc w:val="center"/>
        <w:rPr>
          <w:rFonts w:ascii="Bookman Old Style" w:hAnsi="Bookman Old Style"/>
          <w:b/>
          <w:color w:val="000000"/>
          <w:sz w:val="28"/>
          <w:szCs w:val="28"/>
        </w:rPr>
      </w:pPr>
      <w:r w:rsidRPr="000C0579">
        <w:rPr>
          <w:rFonts w:ascii="Bookman Old Style" w:hAnsi="Bookman Old Style"/>
          <w:b/>
          <w:color w:val="000000"/>
          <w:sz w:val="28"/>
          <w:szCs w:val="28"/>
        </w:rPr>
        <w:t>IMPUGNACIÓN</w:t>
      </w:r>
    </w:p>
    <w:p w:rsidR="00C1198E" w:rsidRDefault="00C1198E" w:rsidP="00C1198E">
      <w:pPr>
        <w:spacing w:line="360" w:lineRule="auto"/>
        <w:jc w:val="center"/>
        <w:rPr>
          <w:rFonts w:ascii="Bookman Old Style" w:hAnsi="Bookman Old Style"/>
          <w:color w:val="000000"/>
          <w:sz w:val="28"/>
          <w:szCs w:val="28"/>
        </w:rPr>
      </w:pPr>
    </w:p>
    <w:p w:rsidR="00C1198E" w:rsidRDefault="00C1198E" w:rsidP="00C1198E">
      <w:pPr>
        <w:spacing w:line="360" w:lineRule="auto"/>
        <w:jc w:val="center"/>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sidRPr="000C0579">
        <w:rPr>
          <w:rFonts w:ascii="Bookman Old Style" w:hAnsi="Bookman Old Style"/>
          <w:color w:val="000000"/>
          <w:sz w:val="28"/>
          <w:szCs w:val="28"/>
        </w:rPr>
        <w:t>Inconforme con la anterior decisión, la parte actora la impugn</w:t>
      </w:r>
      <w:r>
        <w:rPr>
          <w:rFonts w:ascii="Bookman Old Style" w:hAnsi="Bookman Old Style"/>
          <w:color w:val="000000"/>
          <w:sz w:val="28"/>
          <w:szCs w:val="28"/>
        </w:rPr>
        <w:t>ó, para lo cual señaló que si bien la Unidad mencionó que había notificado el auto de apertura de pruebas, mediante estado N°002 del 14 de noviembre de 2012, nunca le expidieron copias de dicha resolución y tampoco la pusieron a disposición de las partes para que pudiera ser examinada, además de no aparecer constancia alguna de que la UAEGRTD hubiera notificado tal resolución, mediante la cual incluyeron el inmueble  denominado «</w:t>
      </w:r>
      <w:proofErr w:type="spellStart"/>
      <w:r w:rsidRPr="00726C38">
        <w:rPr>
          <w:rFonts w:ascii="Bookman Old Style" w:hAnsi="Bookman Old Style"/>
          <w:i/>
          <w:color w:val="000000"/>
          <w:sz w:val="28"/>
          <w:szCs w:val="28"/>
        </w:rPr>
        <w:t>Cocuelo</w:t>
      </w:r>
      <w:proofErr w:type="spellEnd"/>
      <w:r w:rsidRPr="00726C38">
        <w:rPr>
          <w:rFonts w:ascii="Bookman Old Style" w:hAnsi="Bookman Old Style"/>
          <w:i/>
          <w:color w:val="000000"/>
          <w:sz w:val="28"/>
          <w:szCs w:val="28"/>
        </w:rPr>
        <w:t xml:space="preserve"> 2</w:t>
      </w:r>
      <w:r>
        <w:rPr>
          <w:rFonts w:ascii="Bookman Old Style" w:hAnsi="Bookman Old Style"/>
          <w:i/>
          <w:color w:val="000000"/>
          <w:sz w:val="28"/>
          <w:szCs w:val="28"/>
        </w:rPr>
        <w:t xml:space="preserve">» </w:t>
      </w:r>
      <w:r>
        <w:rPr>
          <w:rFonts w:ascii="Bookman Old Style" w:hAnsi="Bookman Old Style"/>
          <w:color w:val="000000"/>
          <w:sz w:val="28"/>
          <w:szCs w:val="28"/>
        </w:rPr>
        <w:t xml:space="preserve"> al Registro de Tierras Despojadas y que según los artículos 14 y 15 del Decreto 4829 de 2011 este no es un requisito únicamente aplicable al solicitante y no al opositor.</w:t>
      </w:r>
    </w:p>
    <w:p w:rsidR="00C1198E"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Que según el artículo 26 de la citada norma queda debidamente establecido que contra todos los actos administrativos de fondo emitidos por la UAGRTD  para el proceso de inclusión del predio en el Registro de Tierras Despojadas proceden los recursos de ley y el agotamiento de la vía gubernativa, y de este artículo no se excluye a ninguna de las partes intervinientes para que se efectúe la notificación.</w:t>
      </w:r>
    </w:p>
    <w:p w:rsidR="00C1198E"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Que la Resolución 001 de 2008 en la que se apoyó el Tribunal en cuanto a los actos de violencia en la región, tenía como fin la protección del patrimonio de los desplazados y personas víctimas de la violencia sobre hechos ocurridos entre los años 1997 y 2000.</w:t>
      </w:r>
    </w:p>
    <w:p w:rsidR="00C1198E"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lastRenderedPageBreak/>
        <w:t>Que no existe secuencia o inmediatez con relación a que el señor Eliseo Sierra Amorocho murió como consecuencia de una mina antipersona, pues su hija informó  que el accidente ocurrió en el año de 1999 y el registro de defunción señala que falleció el 30 de mayo de 2004.</w:t>
      </w:r>
    </w:p>
    <w:p w:rsidR="00C1198E"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Que no hay congruencia entre lo probado dentro del proceso por la parte opositora, con el análisis y el fallo que realizó el Tribunal accionado, máxime cuando existe concepto de las Fuerzas Militares de Colombia, donde dejaron muy claras las fechas en que se produjeron los hechos de violencia y desplazamiento hasta el año 2005.</w:t>
      </w:r>
    </w:p>
    <w:p w:rsidR="00C1198E"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Que según lo regulado por el Decreto 2007 de 2001, se puede concluir que los predios protegidos por esta clase de actos administrativos no salen del comercio, sino que para poderse enajenar se requiere de un requisito adicional al ya establecido en la ley, mientras subsista dicha medida de conformidad con lo establecido en el artículo 4 de esta norma.</w:t>
      </w:r>
    </w:p>
    <w:p w:rsidR="00C1198E" w:rsidRDefault="00C1198E" w:rsidP="00C1198E">
      <w:pPr>
        <w:spacing w:line="360" w:lineRule="auto"/>
        <w:ind w:firstLine="708"/>
        <w:jc w:val="both"/>
        <w:rPr>
          <w:rFonts w:ascii="Bookman Old Style" w:hAnsi="Bookman Old Style"/>
          <w:color w:val="000000"/>
          <w:sz w:val="28"/>
          <w:szCs w:val="28"/>
        </w:rPr>
      </w:pPr>
    </w:p>
    <w:p w:rsidR="00C1198E" w:rsidRPr="00FA23D6" w:rsidRDefault="00C1198E" w:rsidP="00C1198E">
      <w:pPr>
        <w:spacing w:line="360" w:lineRule="auto"/>
        <w:ind w:firstLine="708"/>
        <w:jc w:val="both"/>
        <w:rPr>
          <w:rFonts w:ascii="Bookman Old Style" w:hAnsi="Bookman Old Style"/>
          <w:color w:val="000000"/>
          <w:sz w:val="28"/>
          <w:szCs w:val="28"/>
        </w:rPr>
      </w:pPr>
      <w:r w:rsidRPr="00FA23D6">
        <w:rPr>
          <w:rFonts w:ascii="Bookman Old Style" w:hAnsi="Bookman Old Style"/>
          <w:color w:val="000000"/>
          <w:sz w:val="28"/>
          <w:szCs w:val="28"/>
        </w:rPr>
        <w:t>Finalmente</w:t>
      </w:r>
      <w:r>
        <w:rPr>
          <w:rFonts w:ascii="Bookman Old Style" w:hAnsi="Bookman Old Style"/>
          <w:color w:val="000000"/>
          <w:sz w:val="28"/>
          <w:szCs w:val="28"/>
        </w:rPr>
        <w:t>,</w:t>
      </w:r>
      <w:r w:rsidRPr="00FA23D6">
        <w:rPr>
          <w:rFonts w:ascii="Bookman Old Style" w:hAnsi="Bookman Old Style"/>
          <w:color w:val="000000"/>
          <w:sz w:val="28"/>
          <w:szCs w:val="28"/>
        </w:rPr>
        <w:t xml:space="preserve"> advirtió que </w:t>
      </w:r>
      <w:r>
        <w:rPr>
          <w:rFonts w:ascii="Bookman Old Style" w:hAnsi="Bookman Old Style"/>
          <w:color w:val="000000"/>
          <w:sz w:val="28"/>
          <w:szCs w:val="28"/>
        </w:rPr>
        <w:t>no es su intención que la solicitante del proceso de restitución no sea víctima del conflicto, pero es bien sabido que el inmueble lo prometió en venta y no esto no fue a causa del conflicto que sucedió en el año 2000.</w:t>
      </w:r>
    </w:p>
    <w:p w:rsidR="00C1198E" w:rsidRDefault="00C1198E" w:rsidP="00C1198E">
      <w:pPr>
        <w:spacing w:line="360" w:lineRule="auto"/>
        <w:ind w:firstLine="708"/>
        <w:jc w:val="both"/>
        <w:rPr>
          <w:rFonts w:ascii="Bookman Old Style" w:hAnsi="Bookman Old Style"/>
          <w:i/>
          <w:color w:val="000000"/>
          <w:sz w:val="28"/>
          <w:szCs w:val="28"/>
        </w:rPr>
      </w:pPr>
    </w:p>
    <w:p w:rsidR="00C1198E" w:rsidRPr="000C0579" w:rsidRDefault="00C1198E" w:rsidP="00C1198E">
      <w:pPr>
        <w:spacing w:line="360" w:lineRule="auto"/>
        <w:ind w:firstLine="708"/>
        <w:jc w:val="both"/>
        <w:rPr>
          <w:rFonts w:ascii="Bookman Old Style" w:hAnsi="Bookman Old Style"/>
          <w:i/>
          <w:color w:val="000000"/>
          <w:sz w:val="28"/>
          <w:szCs w:val="28"/>
        </w:rPr>
      </w:pPr>
    </w:p>
    <w:p w:rsidR="00C1198E" w:rsidRPr="000C0579" w:rsidRDefault="00C1198E" w:rsidP="00C1198E">
      <w:pPr>
        <w:spacing w:line="360" w:lineRule="auto"/>
        <w:ind w:firstLine="720"/>
        <w:jc w:val="center"/>
        <w:rPr>
          <w:rFonts w:ascii="Bookman Old Style" w:hAnsi="Bookman Old Style"/>
          <w:b/>
          <w:color w:val="000000"/>
          <w:sz w:val="28"/>
          <w:szCs w:val="28"/>
        </w:rPr>
      </w:pPr>
      <w:r w:rsidRPr="000C0579">
        <w:rPr>
          <w:rFonts w:ascii="Bookman Old Style" w:hAnsi="Bookman Old Style"/>
          <w:b/>
          <w:color w:val="000000"/>
          <w:sz w:val="28"/>
          <w:szCs w:val="28"/>
        </w:rPr>
        <w:t>IV</w:t>
      </w:r>
      <w:r w:rsidRPr="000C0579">
        <w:rPr>
          <w:rFonts w:ascii="Bookman Old Style" w:hAnsi="Bookman Old Style"/>
          <w:color w:val="000000"/>
          <w:sz w:val="28"/>
          <w:szCs w:val="28"/>
        </w:rPr>
        <w:t xml:space="preserve">. </w:t>
      </w:r>
      <w:r w:rsidRPr="000C0579">
        <w:rPr>
          <w:rFonts w:ascii="Bookman Old Style" w:hAnsi="Bookman Old Style"/>
          <w:b/>
          <w:color w:val="000000"/>
          <w:sz w:val="28"/>
          <w:szCs w:val="28"/>
        </w:rPr>
        <w:t>CONSIDERACIONES</w:t>
      </w:r>
    </w:p>
    <w:p w:rsidR="00C1198E" w:rsidRDefault="00C1198E" w:rsidP="00C1198E">
      <w:pPr>
        <w:pStyle w:val="Textosinformato"/>
        <w:spacing w:line="360" w:lineRule="auto"/>
        <w:jc w:val="center"/>
        <w:rPr>
          <w:rFonts w:ascii="Bookman Old Style" w:hAnsi="Bookman Old Style" w:cs="Arial"/>
          <w:sz w:val="28"/>
          <w:szCs w:val="28"/>
          <w:lang w:val="es-CO"/>
        </w:rPr>
      </w:pPr>
    </w:p>
    <w:p w:rsidR="00C1198E" w:rsidRDefault="00C1198E" w:rsidP="00C1198E">
      <w:pPr>
        <w:pStyle w:val="Textosinformato"/>
        <w:spacing w:line="360" w:lineRule="auto"/>
        <w:jc w:val="center"/>
        <w:rPr>
          <w:rFonts w:ascii="Bookman Old Style" w:hAnsi="Bookman Old Style" w:cs="Arial"/>
          <w:sz w:val="28"/>
          <w:szCs w:val="28"/>
          <w:lang w:val="es-CO"/>
        </w:rPr>
      </w:pPr>
    </w:p>
    <w:p w:rsidR="00C1198E" w:rsidRPr="005639B1" w:rsidRDefault="00C1198E" w:rsidP="00C1198E">
      <w:pPr>
        <w:spacing w:line="360" w:lineRule="auto"/>
        <w:ind w:firstLine="709"/>
        <w:jc w:val="both"/>
        <w:rPr>
          <w:rFonts w:ascii="Bookman Old Style" w:hAnsi="Bookman Old Style"/>
          <w:sz w:val="28"/>
          <w:szCs w:val="28"/>
        </w:rPr>
      </w:pPr>
      <w:r w:rsidRPr="005639B1">
        <w:rPr>
          <w:rFonts w:ascii="Bookman Old Style" w:hAnsi="Bookman Old Style"/>
          <w:sz w:val="28"/>
          <w:szCs w:val="28"/>
        </w:rPr>
        <w:t xml:space="preserve">La vía preferente de la tutela, establecida en el artículo 86 de </w:t>
      </w:r>
      <w:smartTag w:uri="urn:schemas-microsoft-com:office:smarttags" w:element="PersonName">
        <w:smartTagPr>
          <w:attr w:name="ProductID" w:val="la Constituci￳n  Pol￭tica"/>
        </w:smartTagPr>
        <w:r w:rsidRPr="005639B1">
          <w:rPr>
            <w:rFonts w:ascii="Bookman Old Style" w:hAnsi="Bookman Old Style"/>
            <w:sz w:val="28"/>
            <w:szCs w:val="28"/>
          </w:rPr>
          <w:t>la Constitución  Política</w:t>
        </w:r>
      </w:smartTag>
      <w:r w:rsidRPr="005639B1">
        <w:rPr>
          <w:rFonts w:ascii="Bookman Old Style" w:hAnsi="Bookman Old Style"/>
          <w:sz w:val="28"/>
          <w:szCs w:val="28"/>
        </w:rPr>
        <w:t xml:space="preserve">, permite a todo ciudadano acudir a </w:t>
      </w:r>
      <w:smartTag w:uri="urn:schemas-microsoft-com:office:smarttags" w:element="PersonName">
        <w:smartTagPr>
          <w:attr w:name="ProductID" w:val="la Rama Judicial"/>
        </w:smartTagPr>
        <w:r w:rsidRPr="005639B1">
          <w:rPr>
            <w:rFonts w:ascii="Bookman Old Style" w:hAnsi="Bookman Old Style"/>
            <w:sz w:val="28"/>
            <w:szCs w:val="28"/>
          </w:rPr>
          <w:t>la Rama Judicial</w:t>
        </w:r>
      </w:smartTag>
      <w:r w:rsidRPr="005639B1">
        <w:rPr>
          <w:rFonts w:ascii="Bookman Old Style" w:hAnsi="Bookman Old Style"/>
          <w:sz w:val="28"/>
          <w:szCs w:val="28"/>
        </w:rPr>
        <w:t xml:space="preserve"> en busca de una orden que impida un acto amenazante o lo suspenda, siempre que se trate de proteger ciertos y determinados derechos, definidos como fundamentales. </w:t>
      </w:r>
    </w:p>
    <w:p w:rsidR="00C1198E" w:rsidRPr="005639B1" w:rsidRDefault="00C1198E" w:rsidP="00C1198E">
      <w:pPr>
        <w:spacing w:line="360" w:lineRule="auto"/>
        <w:ind w:firstLine="709"/>
        <w:jc w:val="both"/>
        <w:rPr>
          <w:rFonts w:ascii="Bookman Old Style" w:hAnsi="Bookman Old Style"/>
          <w:sz w:val="28"/>
          <w:szCs w:val="28"/>
        </w:rPr>
      </w:pPr>
    </w:p>
    <w:p w:rsidR="00C1198E" w:rsidRPr="005639B1" w:rsidRDefault="00C1198E" w:rsidP="00C1198E">
      <w:pPr>
        <w:spacing w:line="360" w:lineRule="auto"/>
        <w:ind w:firstLine="709"/>
        <w:jc w:val="both"/>
        <w:rPr>
          <w:rFonts w:ascii="Bookman Old Style" w:hAnsi="Bookman Old Style" w:cs="Arial"/>
          <w:sz w:val="28"/>
          <w:szCs w:val="28"/>
        </w:rPr>
      </w:pPr>
      <w:r w:rsidRPr="005639B1">
        <w:rPr>
          <w:rFonts w:ascii="Bookman Old Style" w:hAnsi="Bookman Old Style" w:cs="Arial"/>
          <w:sz w:val="28"/>
          <w:szCs w:val="28"/>
        </w:rPr>
        <w:t>Atendiendo los principios de la cosa juzgada y de autonomía judicial, esta Sala ha mantenido el criterio de la improcedencia de la tutela contra providencias o sentencias judiciales, salvo que con las actuaciones u omisiones de los jueces, resulten violados, en forma evidente, derechos constitucionales fundamentales.</w:t>
      </w:r>
    </w:p>
    <w:p w:rsidR="00C1198E" w:rsidRPr="001548D9" w:rsidRDefault="00C1198E" w:rsidP="00C1198E">
      <w:pPr>
        <w:spacing w:line="360" w:lineRule="auto"/>
        <w:ind w:firstLine="709"/>
        <w:jc w:val="both"/>
        <w:rPr>
          <w:rFonts w:ascii="Bookman Old Style" w:hAnsi="Bookman Old Style" w:cs="Arial"/>
          <w:sz w:val="28"/>
          <w:szCs w:val="28"/>
        </w:rPr>
      </w:pPr>
    </w:p>
    <w:p w:rsidR="00C1198E" w:rsidRPr="005639B1" w:rsidRDefault="00C1198E" w:rsidP="00C1198E">
      <w:pPr>
        <w:spacing w:line="360" w:lineRule="auto"/>
        <w:ind w:firstLine="709"/>
        <w:jc w:val="both"/>
        <w:rPr>
          <w:rFonts w:ascii="Bookman Old Style" w:hAnsi="Bookman Old Style" w:cs="Arial"/>
          <w:sz w:val="28"/>
          <w:szCs w:val="28"/>
        </w:rPr>
      </w:pPr>
      <w:r w:rsidRPr="005639B1">
        <w:rPr>
          <w:rFonts w:ascii="Bookman Old Style" w:hAnsi="Bookman Old Style" w:cs="Arial"/>
          <w:sz w:val="28"/>
          <w:szCs w:val="28"/>
        </w:rPr>
        <w:t>Bajo esta óptica, r</w:t>
      </w:r>
      <w:r w:rsidRPr="009F52F0">
        <w:rPr>
          <w:rFonts w:ascii="Bookman Old Style" w:hAnsi="Bookman Old Style" w:cs="Arial"/>
          <w:sz w:val="28"/>
          <w:szCs w:val="28"/>
          <w:highlight w:val="cyan"/>
        </w:rPr>
        <w:t>esulta improcedente fundamentar la solicitud de amparo</w:t>
      </w:r>
      <w:r w:rsidRPr="005639B1">
        <w:rPr>
          <w:rFonts w:ascii="Bookman Old Style" w:hAnsi="Bookman Old Style" w:cs="Arial"/>
          <w:sz w:val="28"/>
          <w:szCs w:val="28"/>
        </w:rPr>
        <w:t xml:space="preserve"> constitucional </w:t>
      </w:r>
      <w:r w:rsidRPr="009F52F0">
        <w:rPr>
          <w:rFonts w:ascii="Bookman Old Style" w:hAnsi="Bookman Old Style" w:cs="Arial"/>
          <w:sz w:val="28"/>
          <w:szCs w:val="28"/>
          <w:highlight w:val="cyan"/>
        </w:rPr>
        <w:t>en una simple discrepancia de criterios sobre la interpretación y aplicación de las normas legales o valoraciones probatorias realizadas por los jueces naturales</w:t>
      </w:r>
      <w:r w:rsidRPr="005639B1">
        <w:rPr>
          <w:rFonts w:ascii="Bookman Old Style" w:hAnsi="Bookman Old Style" w:cs="Arial"/>
          <w:sz w:val="28"/>
          <w:szCs w:val="28"/>
        </w:rPr>
        <w:t xml:space="preserve"> para tomar su decisión, </w:t>
      </w:r>
      <w:r w:rsidRPr="009F52F0">
        <w:rPr>
          <w:rFonts w:ascii="Bookman Old Style" w:hAnsi="Bookman Old Style" w:cs="Arial"/>
          <w:sz w:val="28"/>
          <w:szCs w:val="28"/>
          <w:highlight w:val="yellow"/>
        </w:rPr>
        <w:t>como si se tratara de una instancia más</w:t>
      </w:r>
      <w:r w:rsidRPr="005639B1">
        <w:rPr>
          <w:rFonts w:ascii="Bookman Old Style" w:hAnsi="Bookman Old Style" w:cs="Arial"/>
          <w:sz w:val="28"/>
          <w:szCs w:val="28"/>
        </w:rPr>
        <w:t xml:space="preserve">, </w:t>
      </w:r>
      <w:r w:rsidRPr="006D535F">
        <w:rPr>
          <w:rFonts w:ascii="Bookman Old Style" w:hAnsi="Bookman Old Style" w:cs="Arial"/>
          <w:sz w:val="28"/>
          <w:szCs w:val="28"/>
          <w:highlight w:val="yellow"/>
        </w:rPr>
        <w:t>donde el juez constitucional puede sustituir con su propia apreciación el análisis e interpretación</w:t>
      </w:r>
      <w:r w:rsidRPr="005639B1">
        <w:rPr>
          <w:rFonts w:ascii="Bookman Old Style" w:hAnsi="Bookman Old Style" w:cs="Arial"/>
          <w:sz w:val="28"/>
          <w:szCs w:val="28"/>
        </w:rPr>
        <w:t xml:space="preserve"> que, ajustado a las normas legales, hagan los jueces designados por el legislador para tomar la decisión correspondiente dentro de los litigios sometidos a su consideración. </w:t>
      </w:r>
    </w:p>
    <w:p w:rsidR="00C1198E" w:rsidRPr="001548D9" w:rsidRDefault="00C1198E" w:rsidP="00C1198E">
      <w:pPr>
        <w:spacing w:line="360" w:lineRule="auto"/>
        <w:ind w:firstLine="709"/>
        <w:jc w:val="both"/>
        <w:rPr>
          <w:rFonts w:ascii="Bookman Old Style" w:hAnsi="Bookman Old Style" w:cs="Arial"/>
          <w:sz w:val="28"/>
          <w:szCs w:val="28"/>
        </w:rPr>
      </w:pPr>
    </w:p>
    <w:p w:rsidR="00C1198E" w:rsidRPr="005639B1" w:rsidRDefault="00C1198E" w:rsidP="00C1198E">
      <w:pPr>
        <w:spacing w:line="360" w:lineRule="auto"/>
        <w:ind w:firstLine="709"/>
        <w:jc w:val="both"/>
        <w:rPr>
          <w:rFonts w:ascii="Bookman Old Style" w:hAnsi="Bookman Old Style" w:cs="Arial"/>
          <w:sz w:val="28"/>
          <w:szCs w:val="28"/>
        </w:rPr>
      </w:pPr>
      <w:r w:rsidRPr="00F24FD5">
        <w:rPr>
          <w:rFonts w:ascii="Bookman Old Style" w:hAnsi="Bookman Old Style" w:cs="Arial"/>
          <w:sz w:val="28"/>
          <w:szCs w:val="28"/>
        </w:rPr>
        <w:t>Sólo ante eventuales yerros protuberantes, se insiste, puede encaminarse el procedimiento bajo la vía constitucional, para preservar el debido proceso.</w:t>
      </w:r>
    </w:p>
    <w:p w:rsidR="00C1198E" w:rsidRPr="001548D9" w:rsidRDefault="00C1198E" w:rsidP="00C1198E">
      <w:pPr>
        <w:spacing w:line="360" w:lineRule="auto"/>
        <w:ind w:firstLine="709"/>
        <w:jc w:val="both"/>
        <w:rPr>
          <w:rFonts w:ascii="Bookman Old Style" w:hAnsi="Bookman Old Style" w:cs="Arial"/>
          <w:sz w:val="28"/>
          <w:szCs w:val="28"/>
        </w:rPr>
      </w:pPr>
    </w:p>
    <w:p w:rsidR="00C1198E" w:rsidRDefault="00C1198E" w:rsidP="00C1198E">
      <w:pPr>
        <w:spacing w:line="360" w:lineRule="auto"/>
        <w:ind w:firstLine="720"/>
        <w:jc w:val="both"/>
        <w:rPr>
          <w:rFonts w:ascii="Bookman Old Style" w:hAnsi="Bookman Old Style" w:cs="Arial"/>
          <w:sz w:val="28"/>
          <w:szCs w:val="28"/>
        </w:rPr>
      </w:pPr>
      <w:r w:rsidRPr="009B4E29">
        <w:rPr>
          <w:rFonts w:ascii="Bookman Old Style" w:hAnsi="Bookman Old Style" w:cs="Arial"/>
          <w:sz w:val="28"/>
          <w:szCs w:val="28"/>
        </w:rPr>
        <w:t xml:space="preserve">Descendiendo al caso que nos ocupa, no le asiste razón al impugnante cuando pretende que se revoque la decisión de </w:t>
      </w:r>
      <w:r>
        <w:rPr>
          <w:rFonts w:ascii="Bookman Old Style" w:hAnsi="Bookman Old Style" w:cs="Arial"/>
          <w:sz w:val="28"/>
          <w:szCs w:val="28"/>
        </w:rPr>
        <w:t xml:space="preserve">tutela de </w:t>
      </w:r>
      <w:r w:rsidRPr="009B4E29">
        <w:rPr>
          <w:rFonts w:ascii="Bookman Old Style" w:hAnsi="Bookman Old Style" w:cs="Arial"/>
          <w:sz w:val="28"/>
          <w:szCs w:val="28"/>
        </w:rPr>
        <w:t xml:space="preserve">primera instancia proferida por la </w:t>
      </w:r>
      <w:r>
        <w:rPr>
          <w:rFonts w:ascii="Bookman Old Style" w:hAnsi="Bookman Old Style"/>
          <w:color w:val="000000"/>
          <w:sz w:val="28"/>
          <w:szCs w:val="28"/>
        </w:rPr>
        <w:t>Sala de Casación Civil de esta Corporación</w:t>
      </w:r>
      <w:r w:rsidRPr="009B4E29">
        <w:rPr>
          <w:rFonts w:ascii="Bookman Old Style" w:hAnsi="Bookman Old Style" w:cs="Arial"/>
          <w:sz w:val="28"/>
          <w:szCs w:val="28"/>
        </w:rPr>
        <w:t>, toda vez que no logra desvirtuar las razones en que se fundamentó dicha de</w:t>
      </w:r>
      <w:r>
        <w:rPr>
          <w:rFonts w:ascii="Bookman Old Style" w:hAnsi="Bookman Old Style" w:cs="Arial"/>
          <w:sz w:val="28"/>
          <w:szCs w:val="28"/>
        </w:rPr>
        <w:t>terminación</w:t>
      </w:r>
      <w:r w:rsidRPr="009B4E29">
        <w:rPr>
          <w:rFonts w:ascii="Bookman Old Style" w:hAnsi="Bookman Old Style" w:cs="Arial"/>
          <w:sz w:val="28"/>
          <w:szCs w:val="28"/>
        </w:rPr>
        <w:t>.</w:t>
      </w:r>
    </w:p>
    <w:p w:rsidR="00C1198E" w:rsidRDefault="00C1198E" w:rsidP="00C1198E">
      <w:pPr>
        <w:spacing w:line="360" w:lineRule="auto"/>
        <w:ind w:firstLine="720"/>
        <w:jc w:val="both"/>
        <w:rPr>
          <w:rFonts w:ascii="Bookman Old Style" w:hAnsi="Bookman Old Style" w:cs="Arial"/>
          <w:sz w:val="28"/>
          <w:szCs w:val="28"/>
        </w:rPr>
      </w:pPr>
    </w:p>
    <w:p w:rsidR="00C1198E" w:rsidRDefault="00C1198E" w:rsidP="00C1198E">
      <w:pPr>
        <w:spacing w:line="360" w:lineRule="auto"/>
        <w:ind w:firstLine="708"/>
        <w:jc w:val="both"/>
        <w:rPr>
          <w:rFonts w:ascii="Bookman Old Style" w:hAnsi="Bookman Old Style"/>
          <w:bCs/>
          <w:sz w:val="28"/>
          <w:szCs w:val="28"/>
        </w:rPr>
      </w:pPr>
      <w:r>
        <w:rPr>
          <w:rFonts w:ascii="Bookman Old Style" w:hAnsi="Bookman Old Style"/>
          <w:sz w:val="28"/>
          <w:szCs w:val="28"/>
        </w:rPr>
        <w:t>En efecto, en</w:t>
      </w:r>
      <w:r w:rsidRPr="00307B8A">
        <w:rPr>
          <w:rFonts w:ascii="Bookman Old Style" w:hAnsi="Bookman Old Style"/>
          <w:sz w:val="28"/>
          <w:szCs w:val="28"/>
        </w:rPr>
        <w:t xml:space="preserve"> el caso de marras resulta improcedente la acción de tutela, pues </w:t>
      </w:r>
      <w:r w:rsidRPr="009F52F0">
        <w:rPr>
          <w:rFonts w:ascii="Bookman Old Style" w:hAnsi="Bookman Old Style"/>
          <w:sz w:val="28"/>
          <w:szCs w:val="28"/>
          <w:highlight w:val="yellow"/>
        </w:rPr>
        <w:t xml:space="preserve">la parte actora pretende que se </w:t>
      </w:r>
      <w:r w:rsidRPr="009F52F0">
        <w:rPr>
          <w:rFonts w:ascii="Bookman Old Style" w:hAnsi="Bookman Old Style"/>
          <w:sz w:val="28"/>
          <w:szCs w:val="28"/>
          <w:highlight w:val="yellow"/>
          <w:shd w:val="clear" w:color="auto" w:fill="FFFFFF"/>
          <w:lang w:val="es-ES_tradnl"/>
        </w:rPr>
        <w:t>invalide el fallo de 3 de octubre de 2013, proferido por la Sala</w:t>
      </w:r>
      <w:r>
        <w:rPr>
          <w:rFonts w:ascii="Bookman Old Style" w:hAnsi="Bookman Old Style"/>
          <w:sz w:val="28"/>
          <w:szCs w:val="28"/>
          <w:shd w:val="clear" w:color="auto" w:fill="FFFFFF"/>
          <w:lang w:val="es-ES_tradnl"/>
        </w:rPr>
        <w:t xml:space="preserve"> Civil Especializada </w:t>
      </w:r>
      <w:r w:rsidRPr="009F52F0">
        <w:rPr>
          <w:rFonts w:ascii="Bookman Old Style" w:hAnsi="Bookman Old Style"/>
          <w:sz w:val="28"/>
          <w:szCs w:val="28"/>
          <w:highlight w:val="yellow"/>
          <w:shd w:val="clear" w:color="auto" w:fill="FFFFFF"/>
          <w:lang w:val="es-ES_tradnl"/>
        </w:rPr>
        <w:t>en Restitución de Tierras del Tribunal</w:t>
      </w:r>
      <w:r>
        <w:rPr>
          <w:rFonts w:ascii="Bookman Old Style" w:hAnsi="Bookman Old Style"/>
          <w:sz w:val="28"/>
          <w:szCs w:val="28"/>
          <w:shd w:val="clear" w:color="auto" w:fill="FFFFFF"/>
          <w:lang w:val="es-ES_tradnl"/>
        </w:rPr>
        <w:t xml:space="preserve"> Superior del Distrito Judicial de </w:t>
      </w:r>
      <w:r w:rsidRPr="009F52F0">
        <w:rPr>
          <w:rFonts w:ascii="Bookman Old Style" w:hAnsi="Bookman Old Style"/>
          <w:sz w:val="28"/>
          <w:szCs w:val="28"/>
          <w:highlight w:val="yellow"/>
          <w:shd w:val="clear" w:color="auto" w:fill="FFFFFF"/>
          <w:lang w:val="es-ES_tradnl"/>
        </w:rPr>
        <w:t>Cartagena</w:t>
      </w:r>
      <w:r>
        <w:rPr>
          <w:rFonts w:ascii="Bookman Old Style" w:hAnsi="Bookman Old Style"/>
          <w:bCs/>
          <w:sz w:val="28"/>
          <w:szCs w:val="28"/>
          <w:shd w:val="clear" w:color="auto" w:fill="FFFFFF"/>
          <w:lang w:val="es-ES_tradnl"/>
        </w:rPr>
        <w:t xml:space="preserve">, </w:t>
      </w:r>
      <w:r w:rsidRPr="009F52F0">
        <w:rPr>
          <w:rFonts w:ascii="Bookman Old Style" w:hAnsi="Bookman Old Style"/>
          <w:sz w:val="28"/>
          <w:szCs w:val="28"/>
          <w:highlight w:val="yellow"/>
        </w:rPr>
        <w:t>sin que se advierta de la revisión a dicha providencia, que se exhiba como una decisión caprichosa o arbitraria, ya que se observa que fue debidamente sustentada con base en el ordenamiento jurídico aplicable al caso y en una razonada valoración del acervo probatorio</w:t>
      </w:r>
      <w:r>
        <w:rPr>
          <w:rFonts w:ascii="Bookman Old Style" w:hAnsi="Bookman Old Style"/>
          <w:sz w:val="28"/>
          <w:szCs w:val="28"/>
        </w:rPr>
        <w:t xml:space="preserve"> allegado al proceso, </w:t>
      </w:r>
      <w:r w:rsidRPr="006D535F">
        <w:rPr>
          <w:rFonts w:ascii="Bookman Old Style" w:hAnsi="Bookman Old Style"/>
          <w:sz w:val="28"/>
          <w:szCs w:val="28"/>
          <w:highlight w:val="green"/>
        </w:rPr>
        <w:t>de la cual bien puede el impugnante discrepar, pero no por ello</w:t>
      </w:r>
      <w:r w:rsidRPr="006D535F">
        <w:rPr>
          <w:rFonts w:ascii="Bookman Old Style" w:hAnsi="Bookman Old Style"/>
          <w:bCs/>
          <w:sz w:val="28"/>
          <w:szCs w:val="28"/>
          <w:highlight w:val="green"/>
        </w:rPr>
        <w:t xml:space="preserve"> constituyen una vía de hecho</w:t>
      </w:r>
      <w:r w:rsidRPr="00307B8A">
        <w:rPr>
          <w:rFonts w:ascii="Bookman Old Style" w:hAnsi="Bookman Old Style"/>
          <w:bCs/>
          <w:sz w:val="28"/>
          <w:szCs w:val="28"/>
        </w:rPr>
        <w:t xml:space="preserve"> susceptible de ser amparada por este medio constitucional.</w:t>
      </w:r>
    </w:p>
    <w:p w:rsidR="00C1198E" w:rsidRDefault="00C1198E" w:rsidP="00C1198E">
      <w:pPr>
        <w:spacing w:line="360" w:lineRule="auto"/>
        <w:ind w:firstLine="709"/>
        <w:jc w:val="both"/>
        <w:rPr>
          <w:rFonts w:ascii="Bookman Old Style" w:hAnsi="Bookman Old Style"/>
          <w:bCs/>
          <w:sz w:val="28"/>
          <w:szCs w:val="28"/>
        </w:rPr>
      </w:pPr>
    </w:p>
    <w:p w:rsidR="00C1198E" w:rsidRDefault="00C1198E" w:rsidP="00C1198E">
      <w:pPr>
        <w:spacing w:line="360" w:lineRule="auto"/>
        <w:ind w:firstLine="708"/>
        <w:jc w:val="both"/>
        <w:rPr>
          <w:rFonts w:ascii="Bookman Old Style" w:hAnsi="Bookman Old Style"/>
          <w:bCs/>
          <w:sz w:val="28"/>
          <w:szCs w:val="28"/>
        </w:rPr>
      </w:pPr>
      <w:r>
        <w:rPr>
          <w:rFonts w:ascii="Bookman Old Style" w:hAnsi="Bookman Old Style"/>
          <w:bCs/>
          <w:sz w:val="28"/>
          <w:szCs w:val="28"/>
        </w:rPr>
        <w:t xml:space="preserve">Máxime cuando el Tribunal accionado en su providencia de 3 de octubre de 2013, realizó un análisis razonado del contexto de violencia en que se </w:t>
      </w:r>
      <w:proofErr w:type="spellStart"/>
      <w:r>
        <w:rPr>
          <w:rFonts w:ascii="Bookman Old Style" w:hAnsi="Bookman Old Style"/>
          <w:bCs/>
          <w:sz w:val="28"/>
          <w:szCs w:val="28"/>
        </w:rPr>
        <w:t>desarrollo</w:t>
      </w:r>
      <w:proofErr w:type="spellEnd"/>
      <w:r>
        <w:rPr>
          <w:rFonts w:ascii="Bookman Old Style" w:hAnsi="Bookman Old Style"/>
          <w:bCs/>
          <w:sz w:val="28"/>
          <w:szCs w:val="28"/>
        </w:rPr>
        <w:t xml:space="preserve"> el caso concreto, para lo cual señaló, entre otros, argumentos que: </w:t>
      </w:r>
    </w:p>
    <w:p w:rsidR="00C1198E" w:rsidRPr="005765A9" w:rsidRDefault="00C1198E" w:rsidP="00C1198E">
      <w:pPr>
        <w:spacing w:line="360" w:lineRule="auto"/>
        <w:ind w:firstLine="708"/>
        <w:jc w:val="both"/>
        <w:rPr>
          <w:rFonts w:ascii="Bookman Old Style" w:hAnsi="Bookman Old Style"/>
          <w:bCs/>
          <w:i/>
          <w:sz w:val="24"/>
          <w:szCs w:val="24"/>
        </w:rPr>
      </w:pPr>
    </w:p>
    <w:p w:rsidR="00C1198E" w:rsidRPr="005765A9" w:rsidRDefault="00C1198E" w:rsidP="00C1198E">
      <w:pPr>
        <w:spacing w:line="360" w:lineRule="auto"/>
        <w:ind w:left="709" w:firstLine="425"/>
        <w:jc w:val="both"/>
        <w:rPr>
          <w:rFonts w:ascii="Bookman Old Style" w:hAnsi="Bookman Old Style"/>
          <w:bCs/>
          <w:i/>
          <w:sz w:val="24"/>
          <w:szCs w:val="24"/>
        </w:rPr>
      </w:pPr>
      <w:r w:rsidRPr="005765A9">
        <w:rPr>
          <w:rFonts w:ascii="Bookman Old Style" w:hAnsi="Bookman Old Style"/>
          <w:bCs/>
          <w:i/>
          <w:sz w:val="24"/>
          <w:szCs w:val="24"/>
        </w:rPr>
        <w:t xml:space="preserve">En el caso particular de la familia Sierra, las razones que llevaron a la señora Estela Sierra a vender el inmueble resultan </w:t>
      </w:r>
      <w:r w:rsidRPr="005765A9">
        <w:rPr>
          <w:rFonts w:ascii="Bookman Old Style" w:hAnsi="Bookman Old Style"/>
          <w:bCs/>
          <w:i/>
          <w:sz w:val="24"/>
          <w:szCs w:val="24"/>
        </w:rPr>
        <w:lastRenderedPageBreak/>
        <w:t>evidentes, no solo por el horror del antecedente hecho ocurrido, accidente de su padre con minas antipersona y la desaparición forzada de su hermano, sino el mismo entorno, donde el opositor manifiesta que había tanquetas del ejército y que muestran la inminente amenaza de la región, que posterior al hecho, seguramente seguía latente para los restantes miembros de la familia, circunstancias que se ajustan a las premisas enunciadas por el literal a) del numeral 2 del artículo 77 y que hacen presumir la ausencia del consentimiento en el negocio efectuado; corriendo  la misma suerte el acto jurídico de adjudicación sucesoria que del inmueble se hiciere a favor de la solicitante en detrimento de los demás herederos del causante Eliseo Sierra, a través de la escritura N°512 de fecha 11 de Septiembre de 2008, del cual fue celebrada; y la consecuente nulidad del contrato de compraventa también realizado sobre el inmueble en fecha 23 de abril de 2009 actos jurídicos realizados, estos últimos por la señora Sierra seguramente ante el apremio del cumplimiento del acuerdo de promesa de contrato antes realizado.</w:t>
      </w:r>
    </w:p>
    <w:p w:rsidR="00C1198E" w:rsidRPr="000447BC" w:rsidRDefault="00C1198E" w:rsidP="00C1198E">
      <w:pPr>
        <w:spacing w:line="360" w:lineRule="auto"/>
        <w:ind w:left="709" w:firstLine="425"/>
        <w:jc w:val="both"/>
        <w:rPr>
          <w:rFonts w:ascii="Bookman Old Style" w:hAnsi="Bookman Old Style"/>
          <w:bCs/>
          <w:sz w:val="28"/>
          <w:szCs w:val="28"/>
        </w:rPr>
      </w:pPr>
    </w:p>
    <w:p w:rsidR="00C1198E" w:rsidRPr="007C793F" w:rsidRDefault="00C1198E" w:rsidP="00C1198E">
      <w:pPr>
        <w:spacing w:line="360" w:lineRule="auto"/>
        <w:ind w:firstLine="708"/>
        <w:jc w:val="both"/>
        <w:rPr>
          <w:rFonts w:ascii="Bookman Old Style" w:hAnsi="Bookman Old Style"/>
          <w:bCs/>
          <w:sz w:val="28"/>
          <w:szCs w:val="28"/>
        </w:rPr>
      </w:pPr>
      <w:r w:rsidRPr="006D535F">
        <w:rPr>
          <w:rFonts w:ascii="Bookman Old Style" w:hAnsi="Bookman Old Style"/>
          <w:bCs/>
          <w:sz w:val="28"/>
          <w:szCs w:val="28"/>
          <w:highlight w:val="green"/>
        </w:rPr>
        <w:t>Argumentación que no luce antojadiza o arbitraria</w:t>
      </w:r>
      <w:r>
        <w:rPr>
          <w:rFonts w:ascii="Bookman Old Style" w:hAnsi="Bookman Old Style"/>
          <w:bCs/>
          <w:sz w:val="28"/>
          <w:szCs w:val="28"/>
        </w:rPr>
        <w:t xml:space="preserve"> </w:t>
      </w:r>
      <w:r w:rsidRPr="007C793F">
        <w:rPr>
          <w:rFonts w:ascii="Bookman Old Style" w:hAnsi="Bookman Old Style"/>
          <w:bCs/>
          <w:sz w:val="28"/>
          <w:szCs w:val="28"/>
        </w:rPr>
        <w:t xml:space="preserve">y la simple divergencia de criterio </w:t>
      </w:r>
      <w:r>
        <w:rPr>
          <w:rFonts w:ascii="Bookman Old Style" w:hAnsi="Bookman Old Style"/>
          <w:bCs/>
          <w:sz w:val="28"/>
          <w:szCs w:val="28"/>
        </w:rPr>
        <w:t xml:space="preserve">del accionante con el juzgador </w:t>
      </w:r>
      <w:r w:rsidRPr="007C793F">
        <w:rPr>
          <w:rFonts w:ascii="Bookman Old Style" w:hAnsi="Bookman Old Style"/>
          <w:bCs/>
          <w:sz w:val="28"/>
          <w:szCs w:val="28"/>
        </w:rPr>
        <w:t xml:space="preserve">no </w:t>
      </w:r>
      <w:r>
        <w:rPr>
          <w:rFonts w:ascii="Bookman Old Style" w:hAnsi="Bookman Old Style"/>
          <w:bCs/>
          <w:sz w:val="28"/>
          <w:szCs w:val="28"/>
        </w:rPr>
        <w:t xml:space="preserve">se convierte un factor que vulnere sus derechos fundamentales. </w:t>
      </w:r>
    </w:p>
    <w:p w:rsidR="00C1198E" w:rsidRPr="00A5689A" w:rsidRDefault="00C1198E" w:rsidP="00C1198E">
      <w:pPr>
        <w:spacing w:line="360" w:lineRule="auto"/>
        <w:ind w:left="567" w:firstLine="708"/>
        <w:jc w:val="both"/>
        <w:rPr>
          <w:rFonts w:ascii="Bookman Old Style" w:hAnsi="Bookman Old Style"/>
          <w:bCs/>
          <w:i/>
          <w:sz w:val="24"/>
          <w:szCs w:val="24"/>
        </w:rPr>
      </w:pPr>
    </w:p>
    <w:p w:rsidR="00C1198E" w:rsidRDefault="00C1198E" w:rsidP="00C1198E">
      <w:pPr>
        <w:spacing w:line="360" w:lineRule="auto"/>
        <w:ind w:firstLine="720"/>
        <w:jc w:val="both"/>
        <w:rPr>
          <w:rFonts w:ascii="Bookman Old Style" w:hAnsi="Bookman Old Style"/>
          <w:bCs/>
          <w:color w:val="000000"/>
          <w:sz w:val="28"/>
          <w:szCs w:val="28"/>
        </w:rPr>
      </w:pPr>
      <w:r w:rsidRPr="009F52F0">
        <w:rPr>
          <w:rFonts w:ascii="Bookman Old Style" w:hAnsi="Bookman Old Style"/>
          <w:bCs/>
          <w:color w:val="000000"/>
          <w:sz w:val="28"/>
          <w:szCs w:val="28"/>
          <w:highlight w:val="yellow"/>
        </w:rPr>
        <w:t>Es decir, que con independencia de que se compartan o no las consideraciones esgrimidas por la autoridad judicial accionada, lo cierto es que la providencia se encuentran edificada en reflexiones que consultan las reglas mínimas de razonabilidad jurídica,</w:t>
      </w:r>
      <w:r w:rsidRPr="00307B8A">
        <w:rPr>
          <w:rFonts w:ascii="Bookman Old Style" w:hAnsi="Bookman Old Style"/>
          <w:bCs/>
          <w:color w:val="000000"/>
          <w:sz w:val="28"/>
          <w:szCs w:val="28"/>
        </w:rPr>
        <w:t xml:space="preserve"> impidiendo al juez de tutela interferir invocando una mejor interpretación del asunto. </w:t>
      </w:r>
    </w:p>
    <w:p w:rsidR="00C1198E" w:rsidRDefault="00C1198E" w:rsidP="00C1198E">
      <w:pPr>
        <w:spacing w:line="360" w:lineRule="auto"/>
        <w:ind w:firstLine="720"/>
        <w:jc w:val="both"/>
        <w:rPr>
          <w:rFonts w:ascii="Bookman Old Style" w:hAnsi="Bookman Old Style"/>
          <w:bCs/>
          <w:color w:val="000000"/>
          <w:sz w:val="32"/>
          <w:szCs w:val="32"/>
        </w:rPr>
      </w:pPr>
    </w:p>
    <w:p w:rsidR="00C1198E" w:rsidRDefault="00C1198E" w:rsidP="00C1198E">
      <w:pPr>
        <w:spacing w:line="360" w:lineRule="auto"/>
        <w:ind w:firstLine="720"/>
        <w:jc w:val="both"/>
        <w:rPr>
          <w:rFonts w:ascii="Bookman Old Style" w:hAnsi="Bookman Old Style" w:cs="Arial"/>
          <w:sz w:val="28"/>
          <w:szCs w:val="28"/>
        </w:rPr>
      </w:pPr>
      <w:r w:rsidRPr="00A21867">
        <w:rPr>
          <w:rFonts w:ascii="Bookman Old Style" w:hAnsi="Bookman Old Style"/>
          <w:sz w:val="28"/>
          <w:szCs w:val="28"/>
        </w:rPr>
        <w:lastRenderedPageBreak/>
        <w:t>De otra parte cumple aclarar, que la propia Constitución Política reviste de autonomía  al juzgador en la apreciación de los medios de convicción, por lo que  no es procedente la acción de tutela para controvertir la valoración probatoria en que fundamenta su decisión</w:t>
      </w:r>
      <w:r w:rsidRPr="00A21867">
        <w:rPr>
          <w:rFonts w:ascii="Bookman Old Style" w:hAnsi="Bookman Old Style" w:cs="Arial"/>
          <w:sz w:val="28"/>
          <w:szCs w:val="28"/>
        </w:rPr>
        <w:t>, de la cual puede</w:t>
      </w:r>
      <w:r>
        <w:rPr>
          <w:rFonts w:ascii="Bookman Old Style" w:hAnsi="Bookman Old Style" w:cs="Arial"/>
          <w:sz w:val="28"/>
          <w:szCs w:val="28"/>
        </w:rPr>
        <w:t>n</w:t>
      </w:r>
      <w:r w:rsidRPr="00A21867">
        <w:rPr>
          <w:rFonts w:ascii="Bookman Old Style" w:hAnsi="Bookman Old Style" w:cs="Arial"/>
          <w:sz w:val="28"/>
          <w:szCs w:val="28"/>
        </w:rPr>
        <w:t xml:space="preserve"> disentir </w:t>
      </w:r>
      <w:r>
        <w:rPr>
          <w:rFonts w:ascii="Bookman Old Style" w:hAnsi="Bookman Old Style" w:cs="Arial"/>
          <w:sz w:val="28"/>
          <w:szCs w:val="28"/>
        </w:rPr>
        <w:t xml:space="preserve">los </w:t>
      </w:r>
      <w:proofErr w:type="spellStart"/>
      <w:r>
        <w:rPr>
          <w:rFonts w:ascii="Bookman Old Style" w:hAnsi="Bookman Old Style" w:cs="Arial"/>
          <w:sz w:val="28"/>
          <w:szCs w:val="28"/>
        </w:rPr>
        <w:t>tutelantes</w:t>
      </w:r>
      <w:proofErr w:type="spellEnd"/>
      <w:r w:rsidRPr="00A21867">
        <w:rPr>
          <w:rFonts w:ascii="Bookman Old Style" w:hAnsi="Bookman Old Style" w:cs="Arial"/>
          <w:sz w:val="28"/>
          <w:szCs w:val="28"/>
        </w:rPr>
        <w:t xml:space="preserve">, pero ello no configura per se violación de derecho fundamental alguno. </w:t>
      </w:r>
      <w:r w:rsidRPr="006D535F">
        <w:rPr>
          <w:rFonts w:ascii="Bookman Old Style" w:hAnsi="Bookman Old Style" w:cs="Arial"/>
          <w:sz w:val="28"/>
          <w:szCs w:val="28"/>
          <w:highlight w:val="magenta"/>
        </w:rPr>
        <w:t>El juez de tutela no puede convertirse en una instancia revisora de dicha valoración probatoria del juez que ordinariamente conoce de un asunto, según las reglas generales de competencia.</w:t>
      </w:r>
    </w:p>
    <w:p w:rsidR="00C1198E" w:rsidRPr="00A21867" w:rsidRDefault="00C1198E" w:rsidP="00C1198E">
      <w:pPr>
        <w:spacing w:line="360" w:lineRule="auto"/>
        <w:ind w:firstLine="720"/>
        <w:jc w:val="both"/>
        <w:rPr>
          <w:rFonts w:ascii="Bookman Old Style" w:hAnsi="Bookman Old Style" w:cs="Arial"/>
          <w:sz w:val="28"/>
          <w:szCs w:val="28"/>
        </w:rPr>
      </w:pPr>
    </w:p>
    <w:p w:rsidR="00C1198E" w:rsidRPr="00A21867" w:rsidRDefault="00C1198E" w:rsidP="00C1198E">
      <w:pPr>
        <w:spacing w:line="360" w:lineRule="auto"/>
        <w:ind w:firstLine="900"/>
        <w:jc w:val="both"/>
        <w:rPr>
          <w:rFonts w:ascii="Bookman Old Style" w:hAnsi="Bookman Old Style" w:cs="Arial"/>
          <w:sz w:val="28"/>
          <w:szCs w:val="28"/>
        </w:rPr>
      </w:pPr>
      <w:r w:rsidRPr="00A21867">
        <w:rPr>
          <w:rFonts w:ascii="Bookman Old Style" w:hAnsi="Bookman Old Style" w:cs="Arial"/>
          <w:sz w:val="28"/>
          <w:szCs w:val="28"/>
        </w:rPr>
        <w:t>Esta Corporación ha sido constante en sostener que la función del juez de tutela  no es la de invadir la órbita de competencia del juez natural del proceso, cuando en virtud de su facultad de libre apreciación toma una decisión, pues ello resultaría contrario a la seguridad jurídica del estado de Derecho.</w:t>
      </w:r>
    </w:p>
    <w:p w:rsidR="00C1198E" w:rsidRDefault="00C1198E" w:rsidP="00C1198E">
      <w:pPr>
        <w:spacing w:line="360" w:lineRule="auto"/>
        <w:ind w:firstLine="720"/>
        <w:jc w:val="both"/>
        <w:rPr>
          <w:rFonts w:ascii="Bookman Old Style" w:hAnsi="Bookman Old Style"/>
          <w:bCs/>
          <w:color w:val="000000"/>
          <w:sz w:val="32"/>
          <w:szCs w:val="32"/>
        </w:rPr>
      </w:pPr>
    </w:p>
    <w:p w:rsidR="00C1198E" w:rsidRDefault="00C1198E" w:rsidP="00C1198E">
      <w:pPr>
        <w:pStyle w:val="NormalWeb"/>
        <w:spacing w:before="0" w:beforeAutospacing="0" w:after="0" w:afterAutospacing="0" w:line="360" w:lineRule="auto"/>
        <w:ind w:firstLine="709"/>
        <w:jc w:val="both"/>
        <w:rPr>
          <w:rFonts w:ascii="Bookman Old Style" w:hAnsi="Bookman Old Style"/>
          <w:color w:val="000000"/>
          <w:sz w:val="28"/>
          <w:szCs w:val="28"/>
        </w:rPr>
      </w:pPr>
      <w:r w:rsidRPr="008F2EDF">
        <w:rPr>
          <w:rFonts w:ascii="Bookman Old Style" w:hAnsi="Bookman Old Style"/>
          <w:bCs/>
          <w:color w:val="000000"/>
          <w:sz w:val="28"/>
          <w:szCs w:val="28"/>
        </w:rPr>
        <w:t xml:space="preserve">Ahora bien respecto de la </w:t>
      </w:r>
      <w:r>
        <w:rPr>
          <w:rFonts w:ascii="Bookman Old Style" w:hAnsi="Bookman Old Style"/>
          <w:bCs/>
          <w:color w:val="000000"/>
          <w:sz w:val="28"/>
          <w:szCs w:val="28"/>
        </w:rPr>
        <w:t xml:space="preserve">no </w:t>
      </w:r>
      <w:r w:rsidRPr="008F2EDF">
        <w:rPr>
          <w:rFonts w:ascii="Bookman Old Style" w:hAnsi="Bookman Old Style"/>
          <w:bCs/>
          <w:color w:val="000000"/>
          <w:sz w:val="28"/>
          <w:szCs w:val="28"/>
        </w:rPr>
        <w:t xml:space="preserve">notificación </w:t>
      </w:r>
      <w:r w:rsidRPr="008F2EDF">
        <w:rPr>
          <w:rFonts w:ascii="Bookman Old Style" w:hAnsi="Bookman Old Style"/>
          <w:color w:val="000000"/>
          <w:sz w:val="28"/>
          <w:szCs w:val="28"/>
        </w:rPr>
        <w:t>del auto de apertura de pruebas</w:t>
      </w:r>
      <w:r>
        <w:rPr>
          <w:rFonts w:ascii="Bookman Old Style" w:hAnsi="Bookman Old Style"/>
          <w:color w:val="000000"/>
          <w:sz w:val="28"/>
          <w:szCs w:val="28"/>
        </w:rPr>
        <w:t xml:space="preserve"> que señala la parte actora se observa que</w:t>
      </w:r>
      <w:r w:rsidRPr="008F2EDF">
        <w:rPr>
          <w:rFonts w:ascii="Bookman Old Style" w:hAnsi="Bookman Old Style"/>
          <w:color w:val="000000"/>
          <w:sz w:val="28"/>
          <w:szCs w:val="28"/>
        </w:rPr>
        <w:t xml:space="preserve"> esta</w:t>
      </w:r>
      <w:r>
        <w:rPr>
          <w:rFonts w:ascii="Bookman Old Style" w:hAnsi="Bookman Old Style"/>
          <w:color w:val="000000"/>
          <w:sz w:val="28"/>
          <w:szCs w:val="28"/>
        </w:rPr>
        <w:t>,</w:t>
      </w:r>
      <w:r w:rsidRPr="008F2EDF">
        <w:rPr>
          <w:rFonts w:ascii="Bookman Old Style" w:hAnsi="Bookman Old Style"/>
          <w:color w:val="000000"/>
          <w:sz w:val="28"/>
          <w:szCs w:val="28"/>
        </w:rPr>
        <w:t xml:space="preserve"> </w:t>
      </w:r>
      <w:r>
        <w:rPr>
          <w:rFonts w:ascii="Bookman Old Style" w:hAnsi="Bookman Old Style"/>
          <w:color w:val="000000"/>
          <w:sz w:val="28"/>
          <w:szCs w:val="28"/>
        </w:rPr>
        <w:t xml:space="preserve">efectivamente, se </w:t>
      </w:r>
      <w:r w:rsidRPr="008F2EDF">
        <w:rPr>
          <w:rFonts w:ascii="Bookman Old Style" w:hAnsi="Bookman Old Style"/>
          <w:color w:val="000000"/>
          <w:sz w:val="28"/>
          <w:szCs w:val="28"/>
        </w:rPr>
        <w:t xml:space="preserve">llevó a cabo mediante estado N°002 del 14 de noviembre de 2012, sin que exista evidencia de que se haya impedido el acceso a las partes para </w:t>
      </w:r>
      <w:r>
        <w:rPr>
          <w:rFonts w:ascii="Bookman Old Style" w:hAnsi="Bookman Old Style"/>
          <w:color w:val="000000"/>
          <w:sz w:val="28"/>
          <w:szCs w:val="28"/>
        </w:rPr>
        <w:t>ser examinado;</w:t>
      </w:r>
      <w:r w:rsidRPr="008F2EDF">
        <w:rPr>
          <w:rFonts w:ascii="Bookman Old Style" w:hAnsi="Bookman Old Style"/>
          <w:color w:val="000000"/>
          <w:sz w:val="28"/>
          <w:szCs w:val="28"/>
        </w:rPr>
        <w:t xml:space="preserve"> </w:t>
      </w:r>
      <w:r w:rsidRPr="009B5ADA">
        <w:rPr>
          <w:rFonts w:ascii="Bookman Old Style" w:hAnsi="Bookman Old Style"/>
          <w:color w:val="000000"/>
          <w:sz w:val="28"/>
          <w:szCs w:val="28"/>
          <w:highlight w:val="cyan"/>
        </w:rPr>
        <w:t>acerca de la notificación a la resolución</w:t>
      </w:r>
      <w:r>
        <w:rPr>
          <w:rFonts w:ascii="Bookman Old Style" w:hAnsi="Bookman Old Style"/>
          <w:color w:val="000000"/>
          <w:sz w:val="28"/>
          <w:szCs w:val="28"/>
        </w:rPr>
        <w:t>,</w:t>
      </w:r>
      <w:r w:rsidRPr="008F2EDF">
        <w:rPr>
          <w:rFonts w:ascii="Bookman Old Style" w:hAnsi="Bookman Old Style"/>
          <w:color w:val="000000"/>
          <w:sz w:val="28"/>
          <w:szCs w:val="28"/>
        </w:rPr>
        <w:t xml:space="preserve"> </w:t>
      </w:r>
      <w:r w:rsidRPr="009B5ADA">
        <w:rPr>
          <w:rFonts w:ascii="Bookman Old Style" w:hAnsi="Bookman Old Style"/>
          <w:color w:val="000000"/>
          <w:sz w:val="28"/>
          <w:szCs w:val="28"/>
          <w:highlight w:val="cyan"/>
        </w:rPr>
        <w:t>mediante la cual incluyeron el inmueble</w:t>
      </w:r>
      <w:r>
        <w:rPr>
          <w:rFonts w:ascii="Bookman Old Style" w:hAnsi="Bookman Old Style"/>
          <w:color w:val="000000"/>
          <w:sz w:val="28"/>
          <w:szCs w:val="28"/>
        </w:rPr>
        <w:t xml:space="preserve">  denominado «</w:t>
      </w:r>
      <w:proofErr w:type="spellStart"/>
      <w:r w:rsidRPr="00726C38">
        <w:rPr>
          <w:rFonts w:ascii="Bookman Old Style" w:hAnsi="Bookman Old Style"/>
          <w:i/>
          <w:color w:val="000000"/>
          <w:sz w:val="28"/>
          <w:szCs w:val="28"/>
        </w:rPr>
        <w:t>Cocuelo</w:t>
      </w:r>
      <w:proofErr w:type="spellEnd"/>
      <w:r w:rsidRPr="00726C38">
        <w:rPr>
          <w:rFonts w:ascii="Bookman Old Style" w:hAnsi="Bookman Old Style"/>
          <w:i/>
          <w:color w:val="000000"/>
          <w:sz w:val="28"/>
          <w:szCs w:val="28"/>
        </w:rPr>
        <w:t xml:space="preserve"> 2</w:t>
      </w:r>
      <w:r>
        <w:rPr>
          <w:rFonts w:ascii="Bookman Old Style" w:hAnsi="Bookman Old Style"/>
          <w:i/>
          <w:color w:val="000000"/>
          <w:sz w:val="28"/>
          <w:szCs w:val="28"/>
        </w:rPr>
        <w:t>»</w:t>
      </w:r>
      <w:r>
        <w:rPr>
          <w:rFonts w:ascii="Bookman Old Style" w:hAnsi="Bookman Old Style"/>
          <w:color w:val="000000"/>
          <w:sz w:val="28"/>
          <w:szCs w:val="28"/>
        </w:rPr>
        <w:t xml:space="preserve"> </w:t>
      </w:r>
      <w:r w:rsidRPr="009B5ADA">
        <w:rPr>
          <w:rFonts w:ascii="Bookman Old Style" w:hAnsi="Bookman Old Style"/>
          <w:color w:val="000000"/>
          <w:sz w:val="28"/>
          <w:szCs w:val="28"/>
          <w:highlight w:val="cyan"/>
        </w:rPr>
        <w:t>en el Registro de Tierras</w:t>
      </w:r>
      <w:r w:rsidRPr="008F2EDF">
        <w:rPr>
          <w:rFonts w:ascii="Bookman Old Style" w:hAnsi="Bookman Old Style"/>
          <w:color w:val="000000"/>
          <w:sz w:val="28"/>
          <w:szCs w:val="28"/>
        </w:rPr>
        <w:t xml:space="preserve"> Despojadas</w:t>
      </w:r>
      <w:r>
        <w:rPr>
          <w:rFonts w:ascii="Bookman Old Style" w:hAnsi="Bookman Old Style"/>
          <w:color w:val="000000"/>
          <w:sz w:val="28"/>
          <w:szCs w:val="28"/>
        </w:rPr>
        <w:t xml:space="preserve">, </w:t>
      </w:r>
      <w:r w:rsidRPr="009B5ADA">
        <w:rPr>
          <w:rFonts w:ascii="Bookman Old Style" w:hAnsi="Bookman Old Style"/>
          <w:color w:val="000000"/>
          <w:sz w:val="28"/>
          <w:szCs w:val="28"/>
          <w:highlight w:val="cyan"/>
        </w:rPr>
        <w:t>le asiste razón a la Sala de Casación Civil cuando advirtió que de conformidad con lo establecido en el artículo 25 del Decreto 4829 de 2011</w:t>
      </w:r>
      <w:r>
        <w:rPr>
          <w:rFonts w:ascii="Bookman Old Style" w:hAnsi="Bookman Old Style"/>
          <w:color w:val="000000"/>
          <w:sz w:val="28"/>
          <w:szCs w:val="28"/>
        </w:rPr>
        <w:t xml:space="preserve">, que </w:t>
      </w:r>
      <w:proofErr w:type="spellStart"/>
      <w:r>
        <w:rPr>
          <w:rFonts w:ascii="Bookman Old Style" w:hAnsi="Bookman Old Style"/>
          <w:color w:val="000000"/>
          <w:sz w:val="28"/>
          <w:szCs w:val="28"/>
        </w:rPr>
        <w:t>señala:«</w:t>
      </w:r>
      <w:r w:rsidRPr="004417A3">
        <w:rPr>
          <w:rFonts w:ascii="Bookman Old Style" w:hAnsi="Bookman Old Style" w:cs="Arial"/>
          <w:i/>
        </w:rPr>
        <w:t>Las</w:t>
      </w:r>
      <w:proofErr w:type="spellEnd"/>
      <w:r w:rsidRPr="004417A3">
        <w:rPr>
          <w:rFonts w:ascii="Bookman Old Style" w:hAnsi="Bookman Old Style" w:cs="Arial"/>
          <w:i/>
        </w:rPr>
        <w:t xml:space="preserve"> decisiones que den inicio al trámite administrativo y ponga fin al mismo se notificarán al solicitante o a sus </w:t>
      </w:r>
      <w:r w:rsidRPr="004417A3">
        <w:rPr>
          <w:rFonts w:ascii="Bookman Old Style" w:hAnsi="Bookman Old Style" w:cs="Arial"/>
          <w:i/>
        </w:rPr>
        <w:lastRenderedPageBreak/>
        <w:t>representantes o apoderados, de conformidad con las normas del Código Contencioso Administrativo o la norma que lo sustituya, con la entrega de copia íntegra</w:t>
      </w:r>
      <w:r>
        <w:rPr>
          <w:rFonts w:ascii="Arial" w:hAnsi="Arial" w:cs="Arial"/>
        </w:rPr>
        <w:t xml:space="preserve">, …» </w:t>
      </w:r>
      <w:r w:rsidRPr="009B5ADA">
        <w:rPr>
          <w:rFonts w:ascii="Bookman Old Style" w:hAnsi="Bookman Old Style"/>
          <w:color w:val="000000"/>
          <w:sz w:val="28"/>
          <w:szCs w:val="28"/>
          <w:highlight w:val="cyan"/>
        </w:rPr>
        <w:t>la obligación de notificar dicha decisión solo es respecto solicitante.</w:t>
      </w:r>
    </w:p>
    <w:p w:rsidR="00C1198E" w:rsidRPr="00861F69" w:rsidRDefault="00C1198E" w:rsidP="00C1198E">
      <w:pPr>
        <w:spacing w:line="360" w:lineRule="auto"/>
        <w:ind w:firstLine="720"/>
        <w:jc w:val="both"/>
        <w:rPr>
          <w:rFonts w:ascii="Bookman Old Style" w:hAnsi="Bookman Old Style"/>
          <w:bCs/>
          <w:color w:val="000000"/>
          <w:sz w:val="32"/>
          <w:szCs w:val="32"/>
        </w:rPr>
      </w:pPr>
    </w:p>
    <w:p w:rsidR="00C1198E" w:rsidRPr="00307B8A" w:rsidRDefault="00C1198E" w:rsidP="00C1198E">
      <w:pPr>
        <w:spacing w:line="360" w:lineRule="auto"/>
        <w:ind w:firstLine="720"/>
        <w:jc w:val="both"/>
        <w:rPr>
          <w:rFonts w:ascii="Bookman Old Style" w:hAnsi="Bookman Old Style" w:cs="Arial"/>
          <w:sz w:val="28"/>
          <w:szCs w:val="28"/>
        </w:rPr>
      </w:pPr>
      <w:r>
        <w:rPr>
          <w:rFonts w:ascii="Bookman Old Style" w:hAnsi="Bookman Old Style" w:cs="Arial"/>
          <w:sz w:val="28"/>
          <w:szCs w:val="28"/>
        </w:rPr>
        <w:t xml:space="preserve">El </w:t>
      </w:r>
      <w:r w:rsidRPr="00307B8A">
        <w:rPr>
          <w:rFonts w:ascii="Bookman Old Style" w:hAnsi="Bookman Old Style" w:cs="Arial"/>
          <w:sz w:val="28"/>
          <w:szCs w:val="28"/>
        </w:rPr>
        <w:t xml:space="preserve">propósito de la acción de tutela no es el de promover nuevos procesos, sustitutos de los ordinarios, menos crear instancias adicionales a las ya existentes, ni pretender modificar decisiones que se consideren desfavorables. Su única finalidad, como ya se dijo, se encuentra determinada en el artículo 86 de </w:t>
      </w:r>
      <w:smartTag w:uri="urn:schemas-microsoft-com:office:smarttags" w:element="PersonName">
        <w:smartTagPr>
          <w:attr w:name="ProductID" w:val="la Constituci￳n"/>
        </w:smartTagPr>
        <w:r w:rsidRPr="00307B8A">
          <w:rPr>
            <w:rFonts w:ascii="Bookman Old Style" w:hAnsi="Bookman Old Style" w:cs="Arial"/>
            <w:sz w:val="28"/>
            <w:szCs w:val="28"/>
          </w:rPr>
          <w:t>la Constitución</w:t>
        </w:r>
      </w:smartTag>
      <w:r w:rsidRPr="00307B8A">
        <w:rPr>
          <w:rFonts w:ascii="Bookman Old Style" w:hAnsi="Bookman Old Style" w:cs="Arial"/>
          <w:sz w:val="28"/>
          <w:szCs w:val="28"/>
        </w:rPr>
        <w:t>, que no es otra que la de proteger en forma inmediata los derechos fundamentales.</w:t>
      </w:r>
    </w:p>
    <w:p w:rsidR="00C1198E" w:rsidRPr="00FD5583" w:rsidRDefault="00C1198E" w:rsidP="00C1198E">
      <w:pPr>
        <w:spacing w:line="360" w:lineRule="auto"/>
        <w:ind w:firstLine="900"/>
        <w:jc w:val="both"/>
        <w:rPr>
          <w:rFonts w:ascii="Bookman Old Style" w:hAnsi="Bookman Old Style" w:cs="Arial"/>
          <w:sz w:val="32"/>
          <w:szCs w:val="32"/>
          <w:lang w:val="es-MX"/>
        </w:rPr>
      </w:pPr>
    </w:p>
    <w:p w:rsidR="00C1198E" w:rsidRDefault="00C1198E" w:rsidP="00C1198E">
      <w:pPr>
        <w:spacing w:line="360" w:lineRule="auto"/>
        <w:ind w:firstLine="720"/>
        <w:jc w:val="both"/>
        <w:rPr>
          <w:rFonts w:ascii="Bookman Old Style" w:hAnsi="Bookman Old Style" w:cs="Arial"/>
          <w:sz w:val="28"/>
          <w:szCs w:val="28"/>
        </w:rPr>
      </w:pPr>
      <w:r w:rsidRPr="009E1F76">
        <w:rPr>
          <w:rFonts w:ascii="Bookman Old Style" w:hAnsi="Bookman Old Style" w:cs="Arial"/>
          <w:sz w:val="28"/>
          <w:szCs w:val="28"/>
        </w:rPr>
        <w:t>Así las cosas, habrá de confirmarse el fallo impugnado.</w:t>
      </w:r>
    </w:p>
    <w:p w:rsidR="00C1198E" w:rsidRPr="00070817" w:rsidRDefault="00C1198E" w:rsidP="00C1198E">
      <w:pPr>
        <w:spacing w:line="360" w:lineRule="auto"/>
        <w:ind w:firstLine="720"/>
        <w:jc w:val="both"/>
        <w:rPr>
          <w:rFonts w:ascii="Bookman Old Style" w:hAnsi="Bookman Old Style" w:cs="Arial"/>
          <w:bCs/>
          <w:sz w:val="32"/>
          <w:szCs w:val="32"/>
          <w:lang w:val="es-MX"/>
        </w:rPr>
      </w:pPr>
    </w:p>
    <w:p w:rsidR="00C1198E" w:rsidRDefault="00C1198E" w:rsidP="00C1198E">
      <w:pPr>
        <w:spacing w:line="360" w:lineRule="auto"/>
        <w:ind w:firstLine="708"/>
        <w:jc w:val="both"/>
        <w:rPr>
          <w:rFonts w:ascii="Bookman Old Style" w:hAnsi="Bookman Old Style"/>
          <w:color w:val="000000"/>
          <w:sz w:val="28"/>
          <w:szCs w:val="28"/>
        </w:rPr>
      </w:pPr>
      <w:r w:rsidRPr="000C0579">
        <w:rPr>
          <w:rFonts w:ascii="Bookman Old Style" w:hAnsi="Bookman Old Style"/>
          <w:color w:val="000000"/>
          <w:sz w:val="28"/>
          <w:szCs w:val="28"/>
        </w:rPr>
        <w:t xml:space="preserve">En mérito de lo expuesto, </w:t>
      </w:r>
      <w:smartTag w:uri="urn:schemas-microsoft-com:office:smarttags" w:element="PersonName">
        <w:smartTagPr>
          <w:attr w:name="ProductID" w:val="LA CORTE SUPREMA"/>
        </w:smartTagPr>
        <w:r w:rsidRPr="000C0579">
          <w:rPr>
            <w:rFonts w:ascii="Bookman Old Style" w:hAnsi="Bookman Old Style"/>
            <w:color w:val="000000"/>
            <w:sz w:val="28"/>
            <w:szCs w:val="28"/>
          </w:rPr>
          <w:t>la Corte Suprema</w:t>
        </w:r>
      </w:smartTag>
      <w:r w:rsidRPr="000C0579">
        <w:rPr>
          <w:rFonts w:ascii="Bookman Old Style" w:hAnsi="Bookman Old Style"/>
          <w:color w:val="000000"/>
          <w:sz w:val="28"/>
          <w:szCs w:val="28"/>
        </w:rPr>
        <w:t xml:space="preserve"> de Justicia, Sala  de Casación Laboral, administrando justicia en nombre de </w:t>
      </w:r>
      <w:smartTag w:uri="urn:schemas-microsoft-com:office:smarttags" w:element="PersonName">
        <w:smartTagPr>
          <w:attr w:name="ProductID" w:val="la Rep￺blica"/>
        </w:smartTagPr>
        <w:r w:rsidRPr="000C0579">
          <w:rPr>
            <w:rFonts w:ascii="Bookman Old Style" w:hAnsi="Bookman Old Style"/>
            <w:color w:val="000000"/>
            <w:sz w:val="28"/>
            <w:szCs w:val="28"/>
          </w:rPr>
          <w:t>la República</w:t>
        </w:r>
      </w:smartTag>
      <w:r>
        <w:rPr>
          <w:rFonts w:ascii="Bookman Old Style" w:hAnsi="Bookman Old Style"/>
          <w:color w:val="000000"/>
          <w:sz w:val="28"/>
          <w:szCs w:val="28"/>
        </w:rPr>
        <w:t xml:space="preserve"> </w:t>
      </w:r>
      <w:r w:rsidRPr="000C0579">
        <w:rPr>
          <w:rFonts w:ascii="Bookman Old Style" w:hAnsi="Bookman Old Style"/>
          <w:color w:val="000000"/>
          <w:sz w:val="28"/>
          <w:szCs w:val="28"/>
        </w:rPr>
        <w:t>y por autoridad de la ley,</w:t>
      </w:r>
    </w:p>
    <w:p w:rsidR="00C1198E" w:rsidRDefault="00C1198E" w:rsidP="00C1198E">
      <w:pPr>
        <w:spacing w:line="360" w:lineRule="auto"/>
        <w:ind w:firstLine="720"/>
        <w:jc w:val="center"/>
        <w:rPr>
          <w:rFonts w:ascii="Bookman Old Style" w:hAnsi="Bookman Old Style"/>
          <w:b/>
          <w:sz w:val="28"/>
          <w:szCs w:val="28"/>
        </w:rPr>
      </w:pPr>
    </w:p>
    <w:p w:rsidR="00C1198E" w:rsidRDefault="00C1198E" w:rsidP="00C1198E">
      <w:pPr>
        <w:spacing w:line="360" w:lineRule="auto"/>
        <w:ind w:firstLine="720"/>
        <w:jc w:val="center"/>
        <w:rPr>
          <w:rFonts w:ascii="Bookman Old Style" w:hAnsi="Bookman Old Style"/>
          <w:b/>
          <w:sz w:val="28"/>
          <w:szCs w:val="28"/>
        </w:rPr>
      </w:pPr>
    </w:p>
    <w:p w:rsidR="00C1198E" w:rsidRPr="000C0579" w:rsidRDefault="00C1198E" w:rsidP="00C1198E">
      <w:pPr>
        <w:spacing w:line="360" w:lineRule="auto"/>
        <w:ind w:firstLine="720"/>
        <w:jc w:val="center"/>
        <w:rPr>
          <w:rFonts w:ascii="Bookman Old Style" w:hAnsi="Bookman Old Style"/>
          <w:b/>
          <w:sz w:val="28"/>
          <w:szCs w:val="28"/>
        </w:rPr>
      </w:pPr>
      <w:r w:rsidRPr="000C0579">
        <w:rPr>
          <w:rFonts w:ascii="Bookman Old Style" w:hAnsi="Bookman Old Style"/>
          <w:b/>
          <w:sz w:val="28"/>
          <w:szCs w:val="28"/>
        </w:rPr>
        <w:t>FALLA</w:t>
      </w:r>
    </w:p>
    <w:p w:rsidR="00C1198E" w:rsidRDefault="00C1198E" w:rsidP="00C1198E">
      <w:pPr>
        <w:spacing w:line="360" w:lineRule="auto"/>
        <w:ind w:firstLine="708"/>
        <w:jc w:val="both"/>
        <w:rPr>
          <w:rFonts w:ascii="Bookman Old Style" w:hAnsi="Bookman Old Style"/>
          <w:b/>
          <w:sz w:val="28"/>
          <w:szCs w:val="28"/>
        </w:rPr>
      </w:pPr>
    </w:p>
    <w:p w:rsidR="00C1198E" w:rsidRDefault="00C1198E" w:rsidP="00C1198E">
      <w:pPr>
        <w:spacing w:line="360" w:lineRule="auto"/>
        <w:ind w:firstLine="708"/>
        <w:jc w:val="both"/>
        <w:rPr>
          <w:rFonts w:ascii="Bookman Old Style" w:hAnsi="Bookman Old Style"/>
          <w:b/>
          <w:sz w:val="28"/>
          <w:szCs w:val="28"/>
        </w:rPr>
      </w:pPr>
    </w:p>
    <w:p w:rsidR="00C1198E" w:rsidRPr="00924578" w:rsidRDefault="00C1198E" w:rsidP="00C1198E">
      <w:pPr>
        <w:spacing w:line="360" w:lineRule="auto"/>
        <w:ind w:firstLine="708"/>
        <w:jc w:val="both"/>
        <w:rPr>
          <w:rFonts w:ascii="Bookman Old Style" w:hAnsi="Bookman Old Style"/>
          <w:b/>
          <w:color w:val="000000"/>
          <w:sz w:val="28"/>
          <w:szCs w:val="28"/>
        </w:rPr>
      </w:pPr>
      <w:r w:rsidRPr="000C0579">
        <w:rPr>
          <w:rFonts w:ascii="Bookman Old Style" w:hAnsi="Bookman Old Style"/>
          <w:b/>
          <w:sz w:val="28"/>
          <w:szCs w:val="28"/>
        </w:rPr>
        <w:t xml:space="preserve">PRIMERO. CONFIRMAR </w:t>
      </w:r>
      <w:r w:rsidRPr="000C0579">
        <w:rPr>
          <w:rFonts w:ascii="Bookman Old Style" w:hAnsi="Bookman Old Style"/>
          <w:sz w:val="28"/>
          <w:szCs w:val="28"/>
        </w:rPr>
        <w:t xml:space="preserve">el fallo proferido por la </w:t>
      </w:r>
      <w:r w:rsidRPr="000C0579">
        <w:rPr>
          <w:rFonts w:ascii="Bookman Old Style" w:hAnsi="Bookman Old Style"/>
          <w:color w:val="000000"/>
          <w:sz w:val="28"/>
          <w:szCs w:val="28"/>
        </w:rPr>
        <w:t>SALA DE CASACIÓN CIVIL DE LA CORTE SUPREMA DE JUSTICIA,</w:t>
      </w:r>
      <w:r w:rsidRPr="000C0579">
        <w:rPr>
          <w:rFonts w:ascii="Bookman Old Style" w:hAnsi="Bookman Old Style"/>
          <w:sz w:val="28"/>
          <w:szCs w:val="28"/>
        </w:rPr>
        <w:t xml:space="preserve"> dentro de la acción de tutela promovida </w:t>
      </w:r>
      <w:r w:rsidRPr="000C0579">
        <w:rPr>
          <w:rFonts w:ascii="Bookman Old Style" w:hAnsi="Bookman Old Style"/>
          <w:color w:val="000000"/>
          <w:sz w:val="28"/>
          <w:szCs w:val="28"/>
        </w:rPr>
        <w:t xml:space="preserve">por </w:t>
      </w:r>
      <w:r>
        <w:rPr>
          <w:rFonts w:ascii="Bookman Old Style" w:hAnsi="Bookman Old Style"/>
          <w:color w:val="000000"/>
          <w:sz w:val="28"/>
          <w:szCs w:val="28"/>
        </w:rPr>
        <w:t xml:space="preserve">la apoderada de </w:t>
      </w:r>
      <w:r>
        <w:rPr>
          <w:rFonts w:ascii="Bookman Old Style" w:hAnsi="Bookman Old Style"/>
          <w:b/>
          <w:color w:val="000000"/>
          <w:sz w:val="28"/>
          <w:szCs w:val="28"/>
        </w:rPr>
        <w:t xml:space="preserve">MANUEL JOSÉ MEDINA MUÑETÓN </w:t>
      </w:r>
      <w:r w:rsidRPr="00637AD0">
        <w:rPr>
          <w:rFonts w:ascii="Bookman Old Style" w:hAnsi="Bookman Old Style"/>
          <w:color w:val="000000"/>
          <w:sz w:val="28"/>
          <w:szCs w:val="28"/>
        </w:rPr>
        <w:t>y la</w:t>
      </w:r>
      <w:r>
        <w:rPr>
          <w:rFonts w:ascii="Bookman Old Style" w:hAnsi="Bookman Old Style"/>
          <w:b/>
          <w:color w:val="000000"/>
          <w:sz w:val="28"/>
          <w:szCs w:val="28"/>
        </w:rPr>
        <w:t xml:space="preserve"> SOCIEDAD AGROPECUARIA CARMEN DE BOLÍVAR S.A.</w:t>
      </w:r>
      <w:r w:rsidRPr="000C0579">
        <w:rPr>
          <w:rFonts w:ascii="Bookman Old Style" w:hAnsi="Bookman Old Style"/>
          <w:color w:val="000000"/>
          <w:sz w:val="28"/>
          <w:szCs w:val="28"/>
        </w:rPr>
        <w:t xml:space="preserve"> contra</w:t>
      </w:r>
      <w:r>
        <w:rPr>
          <w:rFonts w:ascii="Bookman Old Style" w:hAnsi="Bookman Old Style"/>
          <w:color w:val="000000"/>
          <w:sz w:val="28"/>
          <w:szCs w:val="28"/>
        </w:rPr>
        <w:t xml:space="preserve"> </w:t>
      </w:r>
      <w:r w:rsidRPr="000C0579">
        <w:rPr>
          <w:rFonts w:ascii="Bookman Old Style" w:hAnsi="Bookman Old Style"/>
          <w:color w:val="000000"/>
          <w:sz w:val="28"/>
          <w:szCs w:val="28"/>
        </w:rPr>
        <w:t xml:space="preserve">la </w:t>
      </w:r>
      <w:r w:rsidRPr="001D00B0">
        <w:rPr>
          <w:rFonts w:ascii="Bookman Old Style" w:hAnsi="Bookman Old Style"/>
          <w:b/>
          <w:color w:val="000000"/>
          <w:sz w:val="28"/>
          <w:szCs w:val="28"/>
        </w:rPr>
        <w:t xml:space="preserve">SALA CIVIL ESPECIALIZADA EN RESTITUCIÓN DE TIERRAS DEL TRIBUNAL SUPERIOR DEL DISTRITO </w:t>
      </w:r>
      <w:r w:rsidRPr="001D00B0">
        <w:rPr>
          <w:rFonts w:ascii="Bookman Old Style" w:hAnsi="Bookman Old Style"/>
          <w:b/>
          <w:color w:val="000000"/>
          <w:sz w:val="28"/>
          <w:szCs w:val="28"/>
        </w:rPr>
        <w:lastRenderedPageBreak/>
        <w:t>JUDICIAL DE CARTAGENA</w:t>
      </w:r>
      <w:r>
        <w:rPr>
          <w:rFonts w:ascii="Bookman Old Style" w:hAnsi="Bookman Old Style"/>
          <w:color w:val="000000"/>
          <w:sz w:val="28"/>
          <w:szCs w:val="28"/>
        </w:rPr>
        <w:t xml:space="preserve">, trámite al cual se vincularon el Juzgado Segundo de la misma especialidad y ciudad, Estela María Sierra </w:t>
      </w:r>
      <w:proofErr w:type="spellStart"/>
      <w:r>
        <w:rPr>
          <w:rFonts w:ascii="Bookman Old Style" w:hAnsi="Bookman Old Style"/>
          <w:color w:val="000000"/>
          <w:sz w:val="28"/>
          <w:szCs w:val="28"/>
        </w:rPr>
        <w:t>Sierra</w:t>
      </w:r>
      <w:proofErr w:type="spellEnd"/>
      <w:r>
        <w:rPr>
          <w:rFonts w:ascii="Bookman Old Style" w:hAnsi="Bookman Old Style"/>
          <w:color w:val="000000"/>
          <w:sz w:val="28"/>
          <w:szCs w:val="28"/>
        </w:rPr>
        <w:t>, el Procurador 2°Delegado en Restitución de Tierras, la Unidad Administrativa Especial de Gestión de Restitución de Tierras, Eliseo Sierra Amorocho y la Fiscalía General de la Nación.</w:t>
      </w:r>
    </w:p>
    <w:p w:rsidR="00C1198E" w:rsidRPr="002078C5"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sz w:val="28"/>
          <w:szCs w:val="28"/>
        </w:rPr>
      </w:pPr>
      <w:r w:rsidRPr="000C0579">
        <w:rPr>
          <w:rFonts w:ascii="Bookman Old Style" w:hAnsi="Bookman Old Style"/>
          <w:b/>
          <w:sz w:val="28"/>
          <w:szCs w:val="28"/>
        </w:rPr>
        <w:t>SEGUNDO. NOTIFICAR</w:t>
      </w:r>
      <w:r w:rsidRPr="000C0579">
        <w:rPr>
          <w:rFonts w:ascii="Bookman Old Style" w:hAnsi="Bookman Old Style"/>
          <w:sz w:val="28"/>
          <w:szCs w:val="28"/>
        </w:rPr>
        <w:t xml:space="preserve"> a los interesados telegráficamente o por cualquier otro medio expedito.</w:t>
      </w:r>
    </w:p>
    <w:p w:rsidR="00C1198E" w:rsidRPr="000C0579" w:rsidRDefault="00C1198E" w:rsidP="00C1198E">
      <w:pPr>
        <w:spacing w:line="360" w:lineRule="auto"/>
        <w:ind w:firstLine="708"/>
        <w:jc w:val="both"/>
        <w:rPr>
          <w:rFonts w:ascii="Bookman Old Style" w:hAnsi="Bookman Old Style"/>
          <w:sz w:val="28"/>
          <w:szCs w:val="28"/>
        </w:rPr>
      </w:pPr>
    </w:p>
    <w:p w:rsidR="00C1198E" w:rsidRPr="000C0579" w:rsidRDefault="00C1198E" w:rsidP="00C1198E">
      <w:pPr>
        <w:pStyle w:val="Textosinformato"/>
        <w:spacing w:line="360" w:lineRule="auto"/>
        <w:ind w:firstLine="708"/>
        <w:jc w:val="both"/>
        <w:rPr>
          <w:rFonts w:ascii="Bookman Old Style" w:hAnsi="Bookman Old Style"/>
          <w:sz w:val="28"/>
          <w:szCs w:val="28"/>
        </w:rPr>
      </w:pPr>
      <w:r w:rsidRPr="000C0579">
        <w:rPr>
          <w:rFonts w:ascii="Bookman Old Style" w:hAnsi="Bookman Old Style"/>
          <w:b/>
          <w:sz w:val="28"/>
          <w:szCs w:val="28"/>
        </w:rPr>
        <w:t xml:space="preserve">TERCERO. REMITIR </w:t>
      </w:r>
      <w:r w:rsidRPr="000C0579">
        <w:rPr>
          <w:rFonts w:ascii="Bookman Old Style" w:hAnsi="Bookman Old Style"/>
          <w:sz w:val="28"/>
          <w:szCs w:val="28"/>
        </w:rPr>
        <w:t xml:space="preserve">el expediente a </w:t>
      </w:r>
      <w:smartTag w:uri="urn:schemas-microsoft-com:office:smarttags" w:element="PersonName">
        <w:smartTagPr>
          <w:attr w:name="ProductID" w:val="la Corte Constitucional"/>
        </w:smartTagPr>
        <w:r w:rsidRPr="000C0579">
          <w:rPr>
            <w:rFonts w:ascii="Bookman Old Style" w:hAnsi="Bookman Old Style"/>
            <w:sz w:val="28"/>
            <w:szCs w:val="28"/>
          </w:rPr>
          <w:t>la Corte Constitucional</w:t>
        </w:r>
      </w:smartTag>
      <w:r w:rsidRPr="000C0579">
        <w:rPr>
          <w:rFonts w:ascii="Bookman Old Style" w:hAnsi="Bookman Old Style"/>
          <w:sz w:val="28"/>
          <w:szCs w:val="28"/>
        </w:rPr>
        <w:t xml:space="preserve"> para su eventual revisión.</w:t>
      </w:r>
    </w:p>
    <w:p w:rsidR="00C1198E" w:rsidRDefault="00C1198E" w:rsidP="00C1198E">
      <w:pPr>
        <w:pStyle w:val="Textosinformato"/>
        <w:spacing w:line="360" w:lineRule="auto"/>
        <w:ind w:firstLine="708"/>
        <w:jc w:val="both"/>
        <w:rPr>
          <w:rFonts w:ascii="Bookman Old Style" w:hAnsi="Bookman Old Style"/>
          <w:sz w:val="28"/>
          <w:szCs w:val="28"/>
          <w:lang w:val="es-MX"/>
        </w:rPr>
      </w:pPr>
    </w:p>
    <w:p w:rsidR="00C1198E" w:rsidRPr="00861F69" w:rsidRDefault="00C1198E" w:rsidP="00C1198E">
      <w:pPr>
        <w:pStyle w:val="Textosinformato"/>
        <w:spacing w:line="360" w:lineRule="auto"/>
        <w:ind w:firstLine="708"/>
        <w:jc w:val="both"/>
        <w:rPr>
          <w:rFonts w:ascii="Bookman Old Style" w:hAnsi="Bookman Old Style"/>
          <w:sz w:val="28"/>
          <w:szCs w:val="28"/>
          <w:lang w:val="es-MX"/>
        </w:rPr>
      </w:pPr>
    </w:p>
    <w:p w:rsidR="00C1198E" w:rsidRPr="000C0579" w:rsidRDefault="00C1198E" w:rsidP="00C1198E">
      <w:pPr>
        <w:widowControl w:val="0"/>
        <w:tabs>
          <w:tab w:val="left" w:pos="6982"/>
        </w:tabs>
        <w:autoSpaceDE w:val="0"/>
        <w:autoSpaceDN w:val="0"/>
        <w:adjustRightInd w:val="0"/>
        <w:spacing w:line="360" w:lineRule="auto"/>
        <w:ind w:firstLine="709"/>
        <w:jc w:val="center"/>
        <w:rPr>
          <w:rFonts w:ascii="Bookman Old Style" w:hAnsi="Bookman Old Style"/>
          <w:sz w:val="28"/>
          <w:szCs w:val="28"/>
        </w:rPr>
      </w:pPr>
      <w:r w:rsidRPr="000C0579">
        <w:rPr>
          <w:rFonts w:ascii="Bookman Old Style" w:hAnsi="Bookman Old Style" w:cs="Bookman Old Style"/>
          <w:b/>
          <w:bCs/>
          <w:color w:val="000000"/>
          <w:sz w:val="28"/>
          <w:szCs w:val="28"/>
        </w:rPr>
        <w:t>NOTIFÍQUESE Y CÚMPLASE</w:t>
      </w:r>
    </w:p>
    <w:p w:rsidR="00C1198E" w:rsidRPr="00460CD0"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Pr="00460CD0"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Pr="00460CD0"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RIGOBERTO ECHEVERRI BUENO</w:t>
      </w:r>
    </w:p>
    <w:p w:rsidR="00C1198E"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Pr="00460CD0"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Pr="000C0579" w:rsidRDefault="00C1198E" w:rsidP="00C1198E">
      <w:pPr>
        <w:widowControl w:val="0"/>
        <w:autoSpaceDE w:val="0"/>
        <w:autoSpaceDN w:val="0"/>
        <w:adjustRightInd w:val="0"/>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JORGE MAURICIO BURGOS RUIZ</w:t>
      </w: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ELSY DEL PILAR CUELLO CALDERÓN</w:t>
      </w: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CLARA CECILIA DUEÑAS QUEVEDO</w:t>
      </w: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GUSTAVO HERNANDO LÓPEZ ALGARRA</w:t>
      </w:r>
    </w:p>
    <w:p w:rsidR="00C1198E" w:rsidRPr="000C0579"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LUIS GABRIEL MIRANDA BUELVAS</w:t>
      </w: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p>
    <w:p w:rsidR="00C1198E" w:rsidRPr="00623BA5" w:rsidRDefault="00C1198E" w:rsidP="00C1198E">
      <w:pPr>
        <w:widowControl w:val="0"/>
        <w:tabs>
          <w:tab w:val="left" w:pos="6982"/>
        </w:tabs>
        <w:autoSpaceDE w:val="0"/>
        <w:autoSpaceDN w:val="0"/>
        <w:adjustRightInd w:val="0"/>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CARLOS ERNES</w:t>
      </w:r>
      <w:r w:rsidRPr="00623BA5">
        <w:rPr>
          <w:rFonts w:ascii="Bookman Old Style" w:hAnsi="Bookman Old Style" w:cs="Tahoma"/>
          <w:b/>
          <w:sz w:val="28"/>
          <w:szCs w:val="28"/>
        </w:rPr>
        <w:t>TO MOLINA MONSALVE</w:t>
      </w:r>
    </w:p>
    <w:p w:rsidR="00C12A5E" w:rsidRPr="00323D75" w:rsidRDefault="00C12A5E" w:rsidP="00C12A5E">
      <w:pPr>
        <w:rPr>
          <w:rFonts w:ascii="Bookman Old Style" w:hAnsi="Bookman Old Style"/>
          <w:sz w:val="28"/>
          <w:szCs w:val="28"/>
        </w:rPr>
      </w:pPr>
    </w:p>
    <w:p w:rsidR="002A24BB" w:rsidRDefault="002A24BB"/>
    <w:sectPr w:rsidR="002A24BB" w:rsidSect="00323D75">
      <w:pgSz w:w="12242" w:h="18722" w:code="14"/>
      <w:pgMar w:top="2268" w:right="1701" w:bottom="1701" w:left="2268" w:header="1077" w:footer="79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712FB"/>
    <w:multiLevelType w:val="hybridMultilevel"/>
    <w:tmpl w:val="211C98A6"/>
    <w:lvl w:ilvl="0" w:tplc="9D660362">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5E"/>
    <w:rsid w:val="00115A95"/>
    <w:rsid w:val="002A24BB"/>
    <w:rsid w:val="002B28E7"/>
    <w:rsid w:val="00412D3E"/>
    <w:rsid w:val="005976F3"/>
    <w:rsid w:val="006D535F"/>
    <w:rsid w:val="00900929"/>
    <w:rsid w:val="009B5ADA"/>
    <w:rsid w:val="009F52F0"/>
    <w:rsid w:val="00B8398C"/>
    <w:rsid w:val="00C1198E"/>
    <w:rsid w:val="00C12A5E"/>
    <w:rsid w:val="00C73F1F"/>
    <w:rsid w:val="00F24F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8BED681-DF39-4E3D-90EE-0656EDD1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98E"/>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1198E"/>
    <w:pPr>
      <w:spacing w:before="100" w:beforeAutospacing="1" w:after="100" w:afterAutospacing="1"/>
    </w:pPr>
    <w:rPr>
      <w:sz w:val="24"/>
      <w:szCs w:val="24"/>
    </w:rPr>
  </w:style>
  <w:style w:type="paragraph" w:styleId="Textosinformato">
    <w:name w:val="Plain Text"/>
    <w:basedOn w:val="Normal"/>
    <w:link w:val="TextosinformatoCar"/>
    <w:rsid w:val="00C1198E"/>
    <w:rPr>
      <w:rFonts w:ascii="Courier New" w:hAnsi="Courier New"/>
      <w:lang w:val="x-none" w:eastAsia="x-none"/>
    </w:rPr>
  </w:style>
  <w:style w:type="character" w:customStyle="1" w:styleId="TextosinformatoCar">
    <w:name w:val="Texto sin formato Car"/>
    <w:basedOn w:val="Fuentedeprrafopredeter"/>
    <w:link w:val="Textosinformato"/>
    <w:rsid w:val="00C1198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3280</Words>
  <Characters>18045</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CONSEJO SUPERIOR DE LA JUDICATURA</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Yennli Maria Katherina Ramirez Navarrete</dc:creator>
  <cp:keywords/>
  <dc:description/>
  <cp:lastModifiedBy>andres guzman</cp:lastModifiedBy>
  <cp:revision>2</cp:revision>
  <dcterms:created xsi:type="dcterms:W3CDTF">2017-07-25T05:23:00Z</dcterms:created>
  <dcterms:modified xsi:type="dcterms:W3CDTF">2017-07-25T05:23:00Z</dcterms:modified>
</cp:coreProperties>
</file>